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0F" w:rsidRDefault="003173B8">
      <w:pPr>
        <w:spacing w:line="545" w:lineRule="exact"/>
        <w:jc w:val="right"/>
        <w:rPr>
          <w:sz w:val="29"/>
        </w:rPr>
      </w:pPr>
      <w:r>
        <w:rPr>
          <w:rFonts w:hint="eastAsia"/>
          <w:sz w:val="29"/>
          <w:lang w:eastAsia="ja-JP"/>
        </w:rPr>
        <w:t>見積</w:t>
      </w:r>
      <w:bookmarkStart w:id="0" w:name="_GoBack"/>
      <w:bookmarkEnd w:id="0"/>
      <w:r w:rsidR="00133DE3">
        <w:rPr>
          <w:sz w:val="29"/>
        </w:rPr>
        <w:t>条件書</w:t>
      </w:r>
    </w:p>
    <w:p w:rsidR="00D94F0F" w:rsidRDefault="00133DE3">
      <w:pPr>
        <w:pStyle w:val="a3"/>
        <w:spacing w:before="16"/>
        <w:rPr>
          <w:sz w:val="26"/>
        </w:rPr>
      </w:pPr>
      <w:r>
        <w:br w:type="column"/>
      </w:r>
    </w:p>
    <w:p w:rsidR="00D94F0F" w:rsidRPr="00F6415B" w:rsidRDefault="00F6415B">
      <w:pPr>
        <w:pStyle w:val="a3"/>
        <w:ind w:right="146"/>
        <w:jc w:val="right"/>
        <w:rPr>
          <w:rFonts w:asciiTheme="minorEastAsia" w:eastAsiaTheme="minorEastAsia" w:hAnsiTheme="minorEastAsia"/>
          <w:sz w:val="21"/>
          <w:szCs w:val="21"/>
        </w:rPr>
      </w:pPr>
      <w:r w:rsidRPr="00F6415B">
        <w:rPr>
          <w:rFonts w:asciiTheme="minorEastAsia" w:eastAsiaTheme="minorEastAsia" w:hAnsiTheme="minorEastAsia"/>
          <w:sz w:val="21"/>
          <w:szCs w:val="21"/>
        </w:rPr>
        <w:t>202</w:t>
      </w:r>
      <w:r w:rsidRPr="00F6415B">
        <w:rPr>
          <w:rFonts w:asciiTheme="minorEastAsia" w:eastAsiaTheme="minorEastAsia" w:hAnsiTheme="minorEastAsia" w:hint="eastAsia"/>
          <w:sz w:val="21"/>
          <w:szCs w:val="21"/>
          <w:lang w:eastAsia="ja-JP"/>
        </w:rPr>
        <w:t>2</w:t>
      </w:r>
      <w:r w:rsidR="00133DE3" w:rsidRPr="00F6415B">
        <w:rPr>
          <w:rFonts w:asciiTheme="minorEastAsia" w:eastAsiaTheme="minorEastAsia" w:hAnsiTheme="minorEastAsia"/>
          <w:sz w:val="21"/>
          <w:szCs w:val="21"/>
        </w:rPr>
        <w:t>年</w:t>
      </w:r>
      <w:r w:rsidRPr="00F6415B">
        <w:rPr>
          <w:rFonts w:asciiTheme="minorEastAsia" w:eastAsiaTheme="minorEastAsia" w:hAnsiTheme="minorEastAsia" w:hint="eastAsia"/>
          <w:sz w:val="21"/>
          <w:szCs w:val="21"/>
          <w:lang w:eastAsia="ja-JP"/>
        </w:rPr>
        <w:t>2</w:t>
      </w:r>
      <w:r w:rsidR="00133DE3" w:rsidRPr="00F6415B">
        <w:rPr>
          <w:rFonts w:ascii="Microsoft YaHei" w:eastAsia="Microsoft YaHei" w:hAnsi="Microsoft YaHei" w:cs="Microsoft YaHei" w:hint="eastAsia"/>
          <w:sz w:val="21"/>
          <w:szCs w:val="21"/>
        </w:rPr>
        <w:t>⽉</w:t>
      </w:r>
      <w:r w:rsidRPr="00F6415B">
        <w:rPr>
          <w:rFonts w:asciiTheme="minorEastAsia" w:eastAsiaTheme="minorEastAsia" w:hAnsiTheme="minorEastAsia"/>
          <w:sz w:val="21"/>
          <w:szCs w:val="21"/>
        </w:rPr>
        <w:t>1</w:t>
      </w:r>
      <w:r w:rsidRPr="00F6415B">
        <w:rPr>
          <w:rFonts w:asciiTheme="minorEastAsia" w:eastAsiaTheme="minorEastAsia" w:hAnsiTheme="minorEastAsia" w:hint="eastAsia"/>
          <w:sz w:val="21"/>
          <w:szCs w:val="21"/>
          <w:lang w:eastAsia="ja-JP"/>
        </w:rPr>
        <w:t>0</w:t>
      </w:r>
      <w:r w:rsidR="00133DE3" w:rsidRPr="00F6415B">
        <w:rPr>
          <w:rFonts w:ascii="Microsoft YaHei" w:eastAsia="Microsoft YaHei" w:hAnsi="Microsoft YaHei" w:cs="Microsoft YaHei" w:hint="eastAsia"/>
          <w:sz w:val="21"/>
          <w:szCs w:val="21"/>
        </w:rPr>
        <w:t>⽇</w:t>
      </w:r>
    </w:p>
    <w:p w:rsidR="00D94F0F" w:rsidRDefault="00D94F0F">
      <w:pPr>
        <w:jc w:val="right"/>
        <w:sectPr w:rsidR="00D94F0F">
          <w:headerReference w:type="default" r:id="rId7"/>
          <w:type w:val="continuous"/>
          <w:pgSz w:w="11910" w:h="16840"/>
          <w:pgMar w:top="940" w:right="680" w:bottom="280" w:left="900" w:header="627" w:footer="720" w:gutter="0"/>
          <w:pgNumType w:start="1"/>
          <w:cols w:num="2" w:space="720" w:equalWidth="0">
            <w:col w:w="5905" w:space="40"/>
            <w:col w:w="4385"/>
          </w:cols>
        </w:sectPr>
      </w:pPr>
    </w:p>
    <w:tbl>
      <w:tblPr>
        <w:tblStyle w:val="TableNormal"/>
        <w:tblW w:w="10208"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
        <w:gridCol w:w="9300"/>
      </w:tblGrid>
      <w:tr w:rsidR="00BC751A" w:rsidTr="00BC751A">
        <w:trPr>
          <w:trHeight w:val="357"/>
        </w:trPr>
        <w:tc>
          <w:tcPr>
            <w:tcW w:w="908" w:type="dxa"/>
            <w:gridSpan w:val="2"/>
            <w:shd w:val="clear" w:color="auto" w:fill="0070C0"/>
          </w:tcPr>
          <w:p w:rsidR="00BC751A" w:rsidRPr="006F6891" w:rsidRDefault="00BC751A" w:rsidP="007F53C8">
            <w:pPr>
              <w:pStyle w:val="TableParagraph"/>
              <w:spacing w:line="300" w:lineRule="exact"/>
              <w:ind w:left="230"/>
              <w:rPr>
                <w:rFonts w:asciiTheme="majorEastAsia" w:eastAsiaTheme="majorEastAsia" w:hAnsiTheme="majorEastAsia"/>
                <w:b/>
                <w:color w:val="FFFFFF" w:themeColor="background1"/>
                <w:sz w:val="20"/>
                <w:szCs w:val="20"/>
              </w:rPr>
            </w:pPr>
            <w:r w:rsidRPr="006F6891">
              <w:rPr>
                <w:rFonts w:asciiTheme="majorEastAsia" w:eastAsiaTheme="majorEastAsia" w:hAnsiTheme="majorEastAsia"/>
                <w:b/>
                <w:color w:val="FFFFFF" w:themeColor="background1"/>
                <w:sz w:val="20"/>
                <w:szCs w:val="20"/>
              </w:rPr>
              <w:t>項</w:t>
            </w:r>
            <w:r w:rsidRPr="006F6891">
              <w:rPr>
                <w:rFonts w:ascii="Microsoft JhengHei" w:eastAsia="Microsoft JhengHei" w:hAnsi="Microsoft JhengHei" w:cs="Microsoft JhengHei" w:hint="eastAsia"/>
                <w:b/>
                <w:color w:val="FFFFFF" w:themeColor="background1"/>
                <w:sz w:val="20"/>
                <w:szCs w:val="20"/>
              </w:rPr>
              <w:t>⽬</w:t>
            </w:r>
          </w:p>
        </w:tc>
        <w:tc>
          <w:tcPr>
            <w:tcW w:w="9300" w:type="dxa"/>
            <w:shd w:val="clear" w:color="auto" w:fill="0070C0"/>
          </w:tcPr>
          <w:p w:rsidR="00BC751A" w:rsidRPr="006F6891" w:rsidRDefault="00BC751A" w:rsidP="007F53C8">
            <w:pPr>
              <w:pStyle w:val="TableParagraph"/>
              <w:spacing w:line="300" w:lineRule="exact"/>
              <w:ind w:rightChars="39" w:right="86"/>
              <w:jc w:val="center"/>
              <w:rPr>
                <w:rFonts w:asciiTheme="majorEastAsia" w:eastAsiaTheme="majorEastAsia" w:hAnsiTheme="majorEastAsia"/>
                <w:b/>
                <w:color w:val="FFFFFF" w:themeColor="background1"/>
                <w:sz w:val="20"/>
                <w:szCs w:val="20"/>
              </w:rPr>
            </w:pPr>
            <w:r w:rsidRPr="006F6891">
              <w:rPr>
                <w:rFonts w:asciiTheme="majorEastAsia" w:eastAsiaTheme="majorEastAsia" w:hAnsiTheme="majorEastAsia"/>
                <w:b/>
                <w:color w:val="FFFFFF" w:themeColor="background1"/>
                <w:sz w:val="20"/>
                <w:szCs w:val="20"/>
              </w:rPr>
              <w:t>内</w:t>
            </w:r>
            <w:r w:rsidRPr="006F6891">
              <w:rPr>
                <w:rFonts w:asciiTheme="majorEastAsia" w:eastAsiaTheme="majorEastAsia" w:hAnsiTheme="majorEastAsia" w:hint="eastAsia"/>
                <w:b/>
                <w:color w:val="FFFFFF" w:themeColor="background1"/>
                <w:sz w:val="20"/>
                <w:szCs w:val="20"/>
                <w:lang w:eastAsia="ja-JP"/>
              </w:rPr>
              <w:t xml:space="preserve">　</w:t>
            </w:r>
            <w:r w:rsidRPr="006F6891">
              <w:rPr>
                <w:rFonts w:asciiTheme="majorEastAsia" w:eastAsiaTheme="majorEastAsia" w:hAnsiTheme="majorEastAsia"/>
                <w:b/>
                <w:color w:val="FFFFFF" w:themeColor="background1"/>
                <w:sz w:val="20"/>
                <w:szCs w:val="20"/>
              </w:rPr>
              <w:t>容</w:t>
            </w:r>
          </w:p>
        </w:tc>
      </w:tr>
      <w:tr w:rsidR="00BC751A" w:rsidRPr="00BC751A" w:rsidTr="009132A1">
        <w:trPr>
          <w:trHeight w:val="750"/>
        </w:trPr>
        <w:tc>
          <w:tcPr>
            <w:tcW w:w="454" w:type="dxa"/>
            <w:vAlign w:val="center"/>
          </w:tcPr>
          <w:p w:rsidR="00BC751A" w:rsidRPr="00BC751A" w:rsidRDefault="00BC751A" w:rsidP="00BC751A">
            <w:pPr>
              <w:pStyle w:val="TableParagraph"/>
              <w:spacing w:before="1"/>
              <w:ind w:left="25"/>
              <w:jc w:val="center"/>
              <w:rPr>
                <w:sz w:val="21"/>
                <w:szCs w:val="21"/>
              </w:rPr>
            </w:pPr>
            <w:r w:rsidRPr="00BC751A">
              <w:rPr>
                <w:sz w:val="21"/>
                <w:szCs w:val="21"/>
              </w:rPr>
              <w:t>1</w:t>
            </w:r>
          </w:p>
        </w:tc>
        <w:tc>
          <w:tcPr>
            <w:tcW w:w="454" w:type="dxa"/>
            <w:vMerge w:val="restart"/>
            <w:shd w:val="clear" w:color="auto" w:fill="D9D9D9" w:themeFill="background1" w:themeFillShade="D9"/>
            <w:vAlign w:val="center"/>
          </w:tcPr>
          <w:p w:rsidR="00BC751A" w:rsidRPr="00BC751A" w:rsidRDefault="00BC751A" w:rsidP="00BC751A">
            <w:pPr>
              <w:pStyle w:val="TableParagraph"/>
              <w:spacing w:line="218" w:lineRule="auto"/>
              <w:ind w:left="128" w:right="111"/>
              <w:jc w:val="both"/>
              <w:rPr>
                <w:b/>
                <w:sz w:val="21"/>
                <w:szCs w:val="21"/>
              </w:rPr>
            </w:pPr>
            <w:r w:rsidRPr="00BC751A">
              <w:rPr>
                <w:b/>
                <w:sz w:val="21"/>
                <w:szCs w:val="21"/>
              </w:rPr>
              <w:t>基本事項</w:t>
            </w:r>
          </w:p>
        </w:tc>
        <w:tc>
          <w:tcPr>
            <w:tcW w:w="9300" w:type="dxa"/>
            <w:vAlign w:val="center"/>
          </w:tcPr>
          <w:p w:rsidR="00BC751A" w:rsidRPr="00BC751A" w:rsidRDefault="00BC751A" w:rsidP="00BC751A">
            <w:pPr>
              <w:pStyle w:val="TableParagraph"/>
              <w:spacing w:line="213" w:lineRule="auto"/>
              <w:ind w:left="32" w:right="143" w:firstLine="180"/>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稼働</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の作業時間は</w:t>
            </w:r>
            <w:r w:rsidRPr="00BC751A">
              <w:rPr>
                <w:rFonts w:asciiTheme="minorEastAsia" w:eastAsiaTheme="minorEastAsia" w:hAnsiTheme="minorEastAsia"/>
                <w:sz w:val="21"/>
                <w:szCs w:val="21"/>
                <w:lang w:eastAsia="ja-JP"/>
              </w:rPr>
              <w:t>8:00〜17：00および20：00〜翌05：00に休憩時間1時間を挟む8時間を標準と</w:t>
            </w:r>
            <w:r w:rsidRPr="00BC751A">
              <w:rPr>
                <w:rFonts w:asciiTheme="minorEastAsia" w:eastAsiaTheme="minorEastAsia" w:hAnsiTheme="minorEastAsia" w:hint="eastAsia"/>
                <w:sz w:val="21"/>
                <w:szCs w:val="21"/>
                <w:lang w:eastAsia="ja-JP"/>
              </w:rPr>
              <w:t>する</w:t>
            </w:r>
            <w:r w:rsidRPr="00BC751A">
              <w:rPr>
                <w:rFonts w:asciiTheme="minorEastAsia" w:eastAsiaTheme="minorEastAsia" w:hAnsiTheme="minorEastAsia"/>
                <w:sz w:val="21"/>
                <w:szCs w:val="21"/>
                <w:lang w:eastAsia="ja-JP"/>
              </w:rPr>
              <w:t>。</w:t>
            </w:r>
          </w:p>
        </w:tc>
      </w:tr>
      <w:tr w:rsidR="00BC751A" w:rsidRPr="00BC751A" w:rsidTr="009132A1">
        <w:trPr>
          <w:trHeight w:val="832"/>
        </w:trPr>
        <w:tc>
          <w:tcPr>
            <w:tcW w:w="454" w:type="dxa"/>
            <w:vAlign w:val="center"/>
          </w:tcPr>
          <w:p w:rsidR="00BC751A" w:rsidRPr="00BC751A" w:rsidRDefault="00BC751A" w:rsidP="00BC751A">
            <w:pPr>
              <w:pStyle w:val="TableParagraph"/>
              <w:spacing w:before="1"/>
              <w:ind w:left="25"/>
              <w:jc w:val="center"/>
              <w:rPr>
                <w:sz w:val="21"/>
                <w:szCs w:val="21"/>
              </w:rPr>
            </w:pPr>
            <w:r w:rsidRPr="00BC751A">
              <w:rPr>
                <w:rFonts w:hint="eastAsia"/>
                <w:sz w:val="21"/>
                <w:szCs w:val="21"/>
                <w:lang w:eastAsia="ja-JP"/>
              </w:rPr>
              <w:t>2</w:t>
            </w:r>
          </w:p>
        </w:tc>
        <w:tc>
          <w:tcPr>
            <w:tcW w:w="454" w:type="dxa"/>
            <w:vMerge/>
            <w:tcBorders>
              <w:top w:val="single" w:sz="6" w:space="0" w:color="000000"/>
            </w:tcBorders>
            <w:shd w:val="clear" w:color="auto" w:fill="D9D9D9" w:themeFill="background1" w:themeFillShade="D9"/>
            <w:vAlign w:val="center"/>
          </w:tcPr>
          <w:p w:rsidR="00BC751A" w:rsidRPr="00BC751A" w:rsidRDefault="00BC751A" w:rsidP="00BC751A">
            <w:pPr>
              <w:rPr>
                <w:sz w:val="21"/>
                <w:szCs w:val="21"/>
              </w:rPr>
            </w:pPr>
          </w:p>
        </w:tc>
        <w:tc>
          <w:tcPr>
            <w:tcW w:w="9300" w:type="dxa"/>
            <w:vAlign w:val="center"/>
          </w:tcPr>
          <w:p w:rsidR="00BC751A" w:rsidRPr="00BC751A" w:rsidRDefault="00BC751A" w:rsidP="00BC751A">
            <w:pPr>
              <w:pStyle w:val="TableParagraph"/>
              <w:spacing w:line="213" w:lineRule="auto"/>
              <w:ind w:left="32" w:right="106" w:firstLine="180"/>
              <w:rPr>
                <w:rFonts w:ascii="ＭＳ 明朝" w:eastAsia="ＭＳ 明朝" w:hAnsi="ＭＳ 明朝" w:cs="ＭＳ 明朝"/>
                <w:sz w:val="21"/>
                <w:szCs w:val="21"/>
                <w:lang w:eastAsia="ja-JP"/>
              </w:rPr>
            </w:pP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両による資機材の搬出</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は昼夜間随時可能として計画する。</w:t>
            </w:r>
          </w:p>
          <w:p w:rsidR="00BC751A" w:rsidRPr="00BC751A" w:rsidRDefault="00BC751A" w:rsidP="00BC751A">
            <w:pPr>
              <w:pStyle w:val="TableParagraph"/>
              <w:spacing w:line="213" w:lineRule="auto"/>
              <w:ind w:left="32" w:right="106" w:firstLine="180"/>
              <w:rPr>
                <w:rFonts w:asciiTheme="minorEastAsia" w:eastAsiaTheme="minorEastAsia" w:hAnsiTheme="minorEastAsia"/>
                <w:sz w:val="21"/>
                <w:szCs w:val="21"/>
                <w:lang w:eastAsia="ja-JP"/>
              </w:rPr>
            </w:pPr>
            <w:r w:rsidRPr="00BC751A">
              <w:rPr>
                <w:rFonts w:ascii="ＭＳ 明朝" w:eastAsia="ＭＳ 明朝" w:hAnsi="ＭＳ 明朝" w:cs="ＭＳ 明朝" w:hint="eastAsia"/>
                <w:sz w:val="21"/>
                <w:szCs w:val="21"/>
                <w:lang w:eastAsia="ja-JP"/>
              </w:rPr>
              <w:t>但し、第三者からの要望等で時間の制約が発</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する場合には条件変更の協議とする。</w:t>
            </w:r>
          </w:p>
        </w:tc>
      </w:tr>
      <w:tr w:rsidR="00BC751A" w:rsidRPr="00BC751A" w:rsidTr="009132A1">
        <w:trPr>
          <w:trHeight w:val="844"/>
        </w:trPr>
        <w:tc>
          <w:tcPr>
            <w:tcW w:w="454" w:type="dxa"/>
            <w:vAlign w:val="center"/>
          </w:tcPr>
          <w:p w:rsidR="00BC751A" w:rsidRPr="00BC751A" w:rsidRDefault="00BC751A" w:rsidP="00BC751A">
            <w:pPr>
              <w:pStyle w:val="TableParagraph"/>
              <w:spacing w:before="1"/>
              <w:ind w:left="25"/>
              <w:jc w:val="center"/>
              <w:rPr>
                <w:sz w:val="21"/>
                <w:szCs w:val="21"/>
              </w:rPr>
            </w:pPr>
            <w:r w:rsidRPr="00BC751A">
              <w:rPr>
                <w:rFonts w:hint="eastAsia"/>
                <w:sz w:val="21"/>
                <w:szCs w:val="21"/>
                <w:lang w:eastAsia="ja-JP"/>
              </w:rPr>
              <w:t>3</w:t>
            </w:r>
          </w:p>
        </w:tc>
        <w:tc>
          <w:tcPr>
            <w:tcW w:w="454" w:type="dxa"/>
            <w:vMerge/>
            <w:tcBorders>
              <w:top w:val="single" w:sz="6" w:space="0" w:color="000000"/>
            </w:tcBorders>
            <w:shd w:val="clear" w:color="auto" w:fill="D9D9D9" w:themeFill="background1" w:themeFillShade="D9"/>
            <w:vAlign w:val="center"/>
          </w:tcPr>
          <w:p w:rsidR="00BC751A" w:rsidRPr="00BC751A" w:rsidRDefault="00BC751A" w:rsidP="00BC751A">
            <w:pPr>
              <w:rPr>
                <w:sz w:val="21"/>
                <w:szCs w:val="21"/>
              </w:rPr>
            </w:pPr>
          </w:p>
        </w:tc>
        <w:tc>
          <w:tcPr>
            <w:tcW w:w="9300" w:type="dxa"/>
            <w:vAlign w:val="center"/>
          </w:tcPr>
          <w:p w:rsidR="00BC751A" w:rsidRPr="00BC751A" w:rsidRDefault="00BC751A" w:rsidP="00BC751A">
            <w:pPr>
              <w:pStyle w:val="TableParagraph"/>
              <w:spacing w:line="213" w:lineRule="auto"/>
              <w:ind w:left="32" w:right="106" w:firstLine="180"/>
              <w:rPr>
                <w:rFonts w:asciiTheme="minorEastAsia" w:eastAsiaTheme="minorEastAsia" w:hAnsiTheme="minorEastAsia"/>
                <w:sz w:val="21"/>
                <w:szCs w:val="21"/>
                <w:lang w:eastAsia="ja-JP"/>
              </w:rPr>
            </w:pP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事着</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後に想定外の制約や条件変更が発</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した場合には、これらに起因する</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期や</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額の変更に関して、発注者・受注者相互の協議により執り行う。</w:t>
            </w:r>
          </w:p>
        </w:tc>
      </w:tr>
      <w:tr w:rsidR="00BC751A" w:rsidRPr="00BC751A" w:rsidTr="009132A1">
        <w:trPr>
          <w:trHeight w:val="1056"/>
        </w:trPr>
        <w:tc>
          <w:tcPr>
            <w:tcW w:w="454" w:type="dxa"/>
            <w:vAlign w:val="center"/>
          </w:tcPr>
          <w:p w:rsidR="00BC751A" w:rsidRPr="00BC751A" w:rsidRDefault="00BC751A" w:rsidP="00BC751A">
            <w:pPr>
              <w:pStyle w:val="TableParagraph"/>
              <w:spacing w:before="1"/>
              <w:ind w:left="25"/>
              <w:jc w:val="center"/>
              <w:rPr>
                <w:sz w:val="21"/>
                <w:szCs w:val="21"/>
              </w:rPr>
            </w:pPr>
            <w:r w:rsidRPr="00BC751A">
              <w:rPr>
                <w:rFonts w:hint="eastAsia"/>
                <w:sz w:val="21"/>
                <w:szCs w:val="21"/>
                <w:lang w:eastAsia="ja-JP"/>
              </w:rPr>
              <w:t>4</w:t>
            </w:r>
          </w:p>
        </w:tc>
        <w:tc>
          <w:tcPr>
            <w:tcW w:w="454" w:type="dxa"/>
            <w:vMerge/>
            <w:tcBorders>
              <w:top w:val="single" w:sz="6" w:space="0" w:color="000000"/>
            </w:tcBorders>
            <w:shd w:val="clear" w:color="auto" w:fill="D9D9D9" w:themeFill="background1" w:themeFillShade="D9"/>
            <w:vAlign w:val="center"/>
          </w:tcPr>
          <w:p w:rsidR="00BC751A" w:rsidRPr="00BC751A" w:rsidRDefault="00BC751A" w:rsidP="00BC751A">
            <w:pPr>
              <w:rPr>
                <w:sz w:val="21"/>
                <w:szCs w:val="21"/>
              </w:rPr>
            </w:pPr>
          </w:p>
        </w:tc>
        <w:tc>
          <w:tcPr>
            <w:tcW w:w="9300" w:type="dxa"/>
            <w:vAlign w:val="center"/>
          </w:tcPr>
          <w:p w:rsidR="00BC751A" w:rsidRPr="00BC751A" w:rsidRDefault="00BC751A" w:rsidP="00BC751A">
            <w:pPr>
              <w:pStyle w:val="TableParagraph"/>
              <w:spacing w:line="213" w:lineRule="auto"/>
              <w:ind w:left="32" w:right="106" w:firstLine="180"/>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設計図書が</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幅に変更となった場合、協議により条件が変わり付随して発</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する設計・施</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検討業務の費</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は当初請負</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額とは別途に、発注者・受注者相互の協議により執り行う協議とする。</w:t>
            </w:r>
          </w:p>
        </w:tc>
      </w:tr>
      <w:tr w:rsidR="00BC751A" w:rsidRPr="00BC751A" w:rsidTr="009132A1">
        <w:trPr>
          <w:trHeight w:val="4091"/>
        </w:trPr>
        <w:tc>
          <w:tcPr>
            <w:tcW w:w="454" w:type="dxa"/>
            <w:vAlign w:val="center"/>
          </w:tcPr>
          <w:p w:rsidR="00BC751A" w:rsidRPr="00BC751A" w:rsidRDefault="003173B8" w:rsidP="00BC751A">
            <w:pPr>
              <w:pStyle w:val="TableParagraph"/>
              <w:ind w:left="25"/>
              <w:jc w:val="center"/>
              <w:rPr>
                <w:sz w:val="21"/>
                <w:szCs w:val="21"/>
              </w:rPr>
            </w:pPr>
            <w:r>
              <w:rPr>
                <w:rFonts w:hint="eastAsia"/>
                <w:sz w:val="21"/>
                <w:szCs w:val="21"/>
                <w:lang w:eastAsia="ja-JP"/>
              </w:rPr>
              <w:t>5</w:t>
            </w:r>
          </w:p>
        </w:tc>
        <w:tc>
          <w:tcPr>
            <w:tcW w:w="454" w:type="dxa"/>
            <w:tcBorders>
              <w:bottom w:val="single" w:sz="6" w:space="0" w:color="000000"/>
            </w:tcBorders>
            <w:shd w:val="clear" w:color="auto" w:fill="FFFFFF" w:themeFill="background1"/>
            <w:vAlign w:val="center"/>
          </w:tcPr>
          <w:p w:rsidR="00BC751A" w:rsidRPr="00BC751A" w:rsidRDefault="00BC751A" w:rsidP="00BC751A">
            <w:pPr>
              <w:pStyle w:val="TableParagraph"/>
              <w:spacing w:line="218" w:lineRule="auto"/>
              <w:ind w:left="128" w:right="111"/>
              <w:jc w:val="both"/>
              <w:rPr>
                <w:sz w:val="21"/>
                <w:szCs w:val="21"/>
              </w:rPr>
            </w:pPr>
            <w:r w:rsidRPr="00BC751A">
              <w:rPr>
                <w:b/>
                <w:sz w:val="21"/>
                <w:szCs w:val="21"/>
              </w:rPr>
              <w:t>作業時間</w:t>
            </w:r>
          </w:p>
        </w:tc>
        <w:tc>
          <w:tcPr>
            <w:tcW w:w="9300" w:type="dxa"/>
          </w:tcPr>
          <w:p w:rsidR="00BC751A" w:rsidRDefault="00BC751A" w:rsidP="00BC751A">
            <w:pPr>
              <w:pStyle w:val="TableParagraph"/>
              <w:spacing w:before="107" w:line="213" w:lineRule="auto"/>
              <w:ind w:left="32" w:right="106" w:firstLine="180"/>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『線路閉鎖作業』『営業線近接作業』『通常作業』を</w:t>
            </w:r>
            <w:r>
              <w:rPr>
                <w:rFonts w:asciiTheme="minorEastAsia" w:eastAsiaTheme="minorEastAsia" w:hAnsiTheme="minorEastAsia" w:hint="eastAsia"/>
                <w:sz w:val="21"/>
                <w:szCs w:val="21"/>
                <w:lang w:eastAsia="ja-JP"/>
              </w:rPr>
              <w:t>下記の</w:t>
            </w:r>
            <w:r w:rsidRPr="00BC751A">
              <w:rPr>
                <w:rFonts w:asciiTheme="minorEastAsia" w:eastAsiaTheme="minorEastAsia" w:hAnsiTheme="minorEastAsia"/>
                <w:sz w:val="21"/>
                <w:szCs w:val="21"/>
                <w:lang w:eastAsia="ja-JP"/>
              </w:rPr>
              <w:t>区分設定</w:t>
            </w:r>
            <w:r>
              <w:rPr>
                <w:rFonts w:asciiTheme="minorEastAsia" w:eastAsiaTheme="minorEastAsia" w:hAnsiTheme="minorEastAsia" w:hint="eastAsia"/>
                <w:sz w:val="21"/>
                <w:szCs w:val="21"/>
                <w:lang w:eastAsia="ja-JP"/>
              </w:rPr>
              <w:t>とする。</w:t>
            </w:r>
          </w:p>
          <w:p w:rsidR="00BC751A" w:rsidRDefault="00BC751A" w:rsidP="009132A1">
            <w:pPr>
              <w:pStyle w:val="TableParagraph"/>
              <w:spacing w:before="107" w:line="120" w:lineRule="exact"/>
              <w:ind w:left="34" w:right="108" w:firstLine="181"/>
              <w:jc w:val="both"/>
              <w:rPr>
                <w:rFonts w:asciiTheme="minorEastAsia" w:eastAsiaTheme="minorEastAsia" w:hAnsiTheme="minorEastAsia"/>
                <w:sz w:val="21"/>
                <w:szCs w:val="21"/>
                <w:lang w:eastAsia="ja-JP"/>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54"/>
              <w:gridCol w:w="4511"/>
            </w:tblGrid>
            <w:tr w:rsidR="00BC751A" w:rsidTr="009132A1">
              <w:trPr>
                <w:trHeight w:val="1551"/>
                <w:jc w:val="center"/>
              </w:trPr>
              <w:tc>
                <w:tcPr>
                  <w:tcW w:w="3954" w:type="dxa"/>
                  <w:vAlign w:val="center"/>
                </w:tcPr>
                <w:p w:rsidR="00BC751A" w:rsidRPr="00BC751A" w:rsidRDefault="00BC751A" w:rsidP="00BC751A">
                  <w:pPr>
                    <w:pStyle w:val="TableParagraph"/>
                    <w:spacing w:before="1" w:line="338" w:lineRule="exact"/>
                    <w:ind w:left="414" w:right="409"/>
                    <w:jc w:val="center"/>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『線路閉鎖作業』</w:t>
                  </w:r>
                </w:p>
                <w:p w:rsidR="00BC751A" w:rsidRPr="00BC751A" w:rsidRDefault="00BC751A" w:rsidP="00BC751A">
                  <w:pPr>
                    <w:pStyle w:val="TableParagraph"/>
                    <w:spacing w:line="338" w:lineRule="exact"/>
                    <w:ind w:leftChars="-193" w:left="-1" w:right="-9" w:hangingChars="202" w:hanging="424"/>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Pr>
                      <w:rFonts w:asciiTheme="minorEastAsia" w:eastAsiaTheme="minorEastAsia" w:hAnsiTheme="minorEastAsia"/>
                      <w:sz w:val="21"/>
                      <w:szCs w:val="21"/>
                      <w:lang w:eastAsia="ja-JP"/>
                    </w:rPr>
                    <w:t xml:space="preserve">　</w:t>
                  </w:r>
                  <w:r w:rsidRPr="00BC751A">
                    <w:rPr>
                      <w:rFonts w:asciiTheme="minorEastAsia" w:eastAsiaTheme="minorEastAsia" w:hAnsiTheme="minorEastAsia"/>
                      <w:sz w:val="21"/>
                      <w:szCs w:val="21"/>
                      <w:lang w:eastAsia="ja-JP"/>
                    </w:rPr>
                    <w:t>線路防護柵の軌道側に</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ち</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る作業</w:t>
                  </w:r>
                </w:p>
              </w:tc>
              <w:tc>
                <w:tcPr>
                  <w:tcW w:w="4511" w:type="dxa"/>
                  <w:vAlign w:val="center"/>
                </w:tcPr>
                <w:p w:rsidR="00BC751A" w:rsidRPr="00BC751A" w:rsidRDefault="00BC751A" w:rsidP="00BC751A">
                  <w:pPr>
                    <w:pStyle w:val="TableParagraph"/>
                    <w:spacing w:before="130" w:line="338" w:lineRule="exact"/>
                    <w:ind w:left="34" w:firstLineChars="100" w:firstLine="210"/>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23：15〜翌5：15の6時間</w:t>
                  </w:r>
                </w:p>
                <w:p w:rsidR="00BC751A" w:rsidRDefault="00BC751A" w:rsidP="009132A1">
                  <w:pPr>
                    <w:pStyle w:val="TableParagraph"/>
                    <w:spacing w:before="8" w:line="211" w:lineRule="auto"/>
                    <w:ind w:left="34" w:right="131" w:firstLineChars="100" w:firstLine="210"/>
                    <w:rPr>
                      <w:rFonts w:asciiTheme="minorEastAsia" w:eastAsiaTheme="minorEastAsia" w:hAnsiTheme="minorEastAsia" w:cs="ＭＳ 明朝"/>
                      <w:sz w:val="21"/>
                      <w:szCs w:val="21"/>
                      <w:lang w:eastAsia="ja-JP"/>
                    </w:rPr>
                  </w:pPr>
                  <w:r w:rsidRPr="00BC751A">
                    <w:rPr>
                      <w:rFonts w:asciiTheme="minorEastAsia" w:eastAsiaTheme="minorEastAsia" w:hAnsiTheme="minorEastAsia"/>
                      <w:sz w:val="21"/>
                      <w:szCs w:val="21"/>
                      <w:lang w:eastAsia="ja-JP"/>
                    </w:rPr>
                    <w:t>※上総村上駅の終発および上総</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cs="ＭＳ 明朝" w:hint="eastAsia"/>
                      <w:sz w:val="21"/>
                      <w:szCs w:val="21"/>
                      <w:lang w:eastAsia="ja-JP"/>
                    </w:rPr>
                    <w:t>久の始発</w:t>
                  </w:r>
                </w:p>
                <w:p w:rsidR="00BC751A" w:rsidRPr="00BC751A" w:rsidRDefault="00BC751A" w:rsidP="00BC751A">
                  <w:pPr>
                    <w:pStyle w:val="TableParagraph"/>
                    <w:spacing w:before="8" w:line="211" w:lineRule="auto"/>
                    <w:ind w:left="34" w:right="432" w:firstLineChars="200" w:firstLine="420"/>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下り最終列</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cs="ＭＳ 明朝" w:hint="eastAsia"/>
                      <w:sz w:val="21"/>
                      <w:szCs w:val="21"/>
                      <w:lang w:eastAsia="ja-JP"/>
                    </w:rPr>
                    <w:t>発時刻</w:t>
                  </w:r>
                  <w:r w:rsidRPr="00BC751A">
                    <w:rPr>
                      <w:rFonts w:asciiTheme="minorEastAsia" w:eastAsiaTheme="minorEastAsia" w:hAnsiTheme="minorEastAsia"/>
                      <w:sz w:val="21"/>
                      <w:szCs w:val="21"/>
                      <w:lang w:eastAsia="ja-JP"/>
                    </w:rPr>
                    <w:t>23：10および</w:t>
                  </w:r>
                </w:p>
                <w:p w:rsidR="00BC751A" w:rsidRPr="00BC751A" w:rsidRDefault="00BC751A" w:rsidP="00BC751A">
                  <w:pPr>
                    <w:pStyle w:val="TableParagraph"/>
                    <w:spacing w:line="331" w:lineRule="exact"/>
                    <w:ind w:left="34" w:firstLineChars="200" w:firstLine="420"/>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上り始発列</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cs="ＭＳ 明朝" w:hint="eastAsia"/>
                      <w:sz w:val="21"/>
                      <w:szCs w:val="21"/>
                      <w:lang w:eastAsia="ja-JP"/>
                    </w:rPr>
                    <w:t>発時刻</w:t>
                  </w:r>
                  <w:r w:rsidRPr="00BC751A">
                    <w:rPr>
                      <w:rFonts w:asciiTheme="minorEastAsia" w:eastAsiaTheme="minorEastAsia" w:hAnsiTheme="minorEastAsia"/>
                      <w:sz w:val="21"/>
                      <w:szCs w:val="21"/>
                      <w:lang w:eastAsia="ja-JP"/>
                    </w:rPr>
                    <w:t>5：28より</w:t>
                  </w:r>
                </w:p>
              </w:tc>
            </w:tr>
            <w:tr w:rsidR="00BC751A" w:rsidTr="009132A1">
              <w:trPr>
                <w:trHeight w:val="1101"/>
                <w:jc w:val="center"/>
              </w:trPr>
              <w:tc>
                <w:tcPr>
                  <w:tcW w:w="3954" w:type="dxa"/>
                  <w:vAlign w:val="center"/>
                </w:tcPr>
                <w:p w:rsidR="00BC751A" w:rsidRPr="00BC751A" w:rsidRDefault="00BC751A" w:rsidP="00BC751A">
                  <w:pPr>
                    <w:pStyle w:val="TableParagraph"/>
                    <w:spacing w:line="338" w:lineRule="exact"/>
                    <w:ind w:left="414" w:right="409"/>
                    <w:jc w:val="center"/>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『営業線近接作業』</w:t>
                  </w:r>
                </w:p>
                <w:p w:rsidR="00BC751A" w:rsidRPr="00BC751A" w:rsidRDefault="00BC751A" w:rsidP="00BC751A">
                  <w:pPr>
                    <w:pStyle w:val="TableParagraph"/>
                    <w:spacing w:line="338" w:lineRule="exact"/>
                    <w:ind w:leftChars="-6" w:left="-3" w:hangingChars="5" w:hanging="10"/>
                    <w:jc w:val="center"/>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列</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接近時に重機・揚重作業を</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時中断</w:t>
                  </w:r>
                </w:p>
              </w:tc>
              <w:tc>
                <w:tcPr>
                  <w:tcW w:w="4511" w:type="dxa"/>
                  <w:vAlign w:val="center"/>
                </w:tcPr>
                <w:p w:rsidR="00BC751A" w:rsidRPr="00BC751A" w:rsidRDefault="00BC751A" w:rsidP="00BC751A">
                  <w:pPr>
                    <w:pStyle w:val="TableParagraph"/>
                    <w:spacing w:line="338" w:lineRule="exact"/>
                    <w:ind w:leftChars="100" w:left="220"/>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通過列</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sz w:val="21"/>
                      <w:szCs w:val="21"/>
                      <w:lang w:eastAsia="ja-JP"/>
                    </w:rPr>
                    <w:t>1本当たりの作業中断を6分間とし、列</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cs="ＭＳ 明朝" w:hint="eastAsia"/>
                      <w:sz w:val="21"/>
                      <w:szCs w:val="21"/>
                      <w:lang w:eastAsia="ja-JP"/>
                    </w:rPr>
                    <w:t>本数から算出した稼働率</w:t>
                  </w:r>
                  <w:r w:rsidRPr="00BC751A">
                    <w:rPr>
                      <w:rFonts w:asciiTheme="minorEastAsia" w:eastAsiaTheme="minorEastAsia" w:hAnsiTheme="minorEastAsia"/>
                      <w:sz w:val="21"/>
                      <w:szCs w:val="21"/>
                      <w:lang w:eastAsia="ja-JP"/>
                    </w:rPr>
                    <w:t>72.3%を営業線近接作業係数とする</w:t>
                  </w:r>
                </w:p>
              </w:tc>
            </w:tr>
            <w:tr w:rsidR="00BC751A" w:rsidTr="009132A1">
              <w:trPr>
                <w:trHeight w:val="686"/>
                <w:jc w:val="center"/>
              </w:trPr>
              <w:tc>
                <w:tcPr>
                  <w:tcW w:w="3954" w:type="dxa"/>
                  <w:vAlign w:val="center"/>
                </w:tcPr>
                <w:p w:rsidR="00BC751A" w:rsidRPr="00BC751A" w:rsidRDefault="00BC751A" w:rsidP="00BC751A">
                  <w:pPr>
                    <w:pStyle w:val="TableParagraph"/>
                    <w:spacing w:line="211" w:lineRule="auto"/>
                    <w:ind w:leftChars="-1" w:left="-2" w:right="55" w:firstLineChars="1" w:firstLine="2"/>
                    <w:jc w:val="center"/>
                    <w:rPr>
                      <w:rFonts w:asciiTheme="minorEastAsia" w:eastAsiaTheme="minorEastAsia" w:hAnsiTheme="minorEastAsia"/>
                      <w:sz w:val="21"/>
                      <w:szCs w:val="21"/>
                    </w:rPr>
                  </w:pPr>
                  <w:r w:rsidRPr="00BC751A">
                    <w:rPr>
                      <w:rFonts w:asciiTheme="minorEastAsia" w:eastAsiaTheme="minorEastAsia" w:hAnsiTheme="minorEastAsia"/>
                      <w:sz w:val="21"/>
                      <w:szCs w:val="21"/>
                    </w:rPr>
                    <w:t>『通常作業』上記以外</w:t>
                  </w:r>
                </w:p>
              </w:tc>
              <w:tc>
                <w:tcPr>
                  <w:tcW w:w="4511" w:type="dxa"/>
                  <w:vAlign w:val="center"/>
                </w:tcPr>
                <w:p w:rsidR="00BC751A" w:rsidRPr="00BC751A" w:rsidRDefault="00BC751A" w:rsidP="00BC751A">
                  <w:pPr>
                    <w:pStyle w:val="TableParagraph"/>
                    <w:spacing w:before="1"/>
                    <w:ind w:left="34" w:firstLineChars="100" w:firstLine="210"/>
                    <w:rPr>
                      <w:rFonts w:asciiTheme="minorEastAsia" w:eastAsiaTheme="minorEastAsia" w:hAnsiTheme="minorEastAsia"/>
                      <w:sz w:val="21"/>
                      <w:szCs w:val="21"/>
                    </w:rPr>
                  </w:pPr>
                  <w:r w:rsidRPr="00BC751A">
                    <w:rPr>
                      <w:rFonts w:asciiTheme="minorEastAsia" w:eastAsiaTheme="minorEastAsia" w:hAnsiTheme="minorEastAsia"/>
                      <w:sz w:val="21"/>
                      <w:szCs w:val="21"/>
                    </w:rPr>
                    <w:t>制約なし</w:t>
                  </w:r>
                </w:p>
              </w:tc>
            </w:tr>
          </w:tbl>
          <w:p w:rsidR="00BC751A" w:rsidRPr="00BC751A" w:rsidRDefault="00BC751A" w:rsidP="009132A1">
            <w:pPr>
              <w:pStyle w:val="TableParagraph"/>
              <w:spacing w:before="107" w:line="120" w:lineRule="exact"/>
              <w:ind w:left="34" w:right="108" w:firstLine="181"/>
              <w:jc w:val="both"/>
              <w:rPr>
                <w:rFonts w:asciiTheme="minorEastAsia" w:eastAsiaTheme="minorEastAsia" w:hAnsiTheme="minorEastAsia" w:hint="eastAsia"/>
                <w:sz w:val="21"/>
                <w:szCs w:val="21"/>
                <w:lang w:eastAsia="ja-JP"/>
              </w:rPr>
            </w:pPr>
          </w:p>
        </w:tc>
      </w:tr>
      <w:tr w:rsidR="003173B8" w:rsidRPr="00BC751A" w:rsidTr="003173B8">
        <w:trPr>
          <w:trHeight w:val="1109"/>
        </w:trPr>
        <w:tc>
          <w:tcPr>
            <w:tcW w:w="454" w:type="dxa"/>
            <w:vAlign w:val="center"/>
          </w:tcPr>
          <w:p w:rsidR="003173B8" w:rsidRPr="00BC751A" w:rsidRDefault="003173B8" w:rsidP="00BC751A">
            <w:pPr>
              <w:pStyle w:val="TableParagraph"/>
              <w:jc w:val="center"/>
              <w:rPr>
                <w:sz w:val="21"/>
                <w:szCs w:val="21"/>
                <w:lang w:eastAsia="ja-JP"/>
              </w:rPr>
            </w:pPr>
            <w:r>
              <w:rPr>
                <w:rFonts w:hint="eastAsia"/>
                <w:sz w:val="21"/>
                <w:szCs w:val="21"/>
                <w:lang w:eastAsia="ja-JP"/>
              </w:rPr>
              <w:t>6</w:t>
            </w:r>
          </w:p>
        </w:tc>
        <w:tc>
          <w:tcPr>
            <w:tcW w:w="454" w:type="dxa"/>
            <w:vMerge w:val="restart"/>
            <w:shd w:val="clear" w:color="auto" w:fill="D9D9D9" w:themeFill="background1" w:themeFillShade="D9"/>
            <w:vAlign w:val="center"/>
          </w:tcPr>
          <w:p w:rsidR="003173B8" w:rsidRPr="00BC751A" w:rsidRDefault="003173B8" w:rsidP="00BC751A">
            <w:pPr>
              <w:pStyle w:val="TableParagraph"/>
              <w:spacing w:line="218" w:lineRule="auto"/>
              <w:ind w:left="128" w:right="111"/>
              <w:rPr>
                <w:b/>
                <w:sz w:val="21"/>
                <w:szCs w:val="21"/>
              </w:rPr>
            </w:pPr>
            <w:r w:rsidRPr="00BC751A">
              <w:rPr>
                <w:b/>
                <w:sz w:val="21"/>
                <w:szCs w:val="21"/>
              </w:rPr>
              <w:t>個別</w:t>
            </w:r>
          </w:p>
          <w:p w:rsidR="003173B8" w:rsidRPr="00BC751A" w:rsidRDefault="003173B8" w:rsidP="00BC751A">
            <w:pPr>
              <w:jc w:val="center"/>
              <w:rPr>
                <w:b/>
                <w:sz w:val="21"/>
                <w:szCs w:val="21"/>
              </w:rPr>
            </w:pPr>
            <w:r w:rsidRPr="00BC751A">
              <w:rPr>
                <w:b/>
                <w:sz w:val="21"/>
                <w:szCs w:val="21"/>
              </w:rPr>
              <w:t>⼯</w:t>
            </w:r>
          </w:p>
          <w:p w:rsidR="003173B8" w:rsidRPr="00BC751A" w:rsidRDefault="003173B8" w:rsidP="00BC751A">
            <w:pPr>
              <w:pStyle w:val="TableParagraph"/>
              <w:jc w:val="center"/>
              <w:rPr>
                <w:sz w:val="21"/>
                <w:szCs w:val="21"/>
              </w:rPr>
            </w:pPr>
            <w:r w:rsidRPr="00BC751A">
              <w:rPr>
                <w:b/>
                <w:sz w:val="21"/>
                <w:szCs w:val="21"/>
              </w:rPr>
              <w:t>事</w:t>
            </w:r>
          </w:p>
        </w:tc>
        <w:tc>
          <w:tcPr>
            <w:tcW w:w="9300" w:type="dxa"/>
          </w:tcPr>
          <w:p w:rsidR="003173B8" w:rsidRPr="00BC751A" w:rsidRDefault="003173B8" w:rsidP="00BC751A">
            <w:pPr>
              <w:pStyle w:val="TableParagraph"/>
              <w:spacing w:before="107" w:line="300" w:lineRule="exact"/>
              <w:ind w:left="34" w:right="108" w:firstLine="181"/>
              <w:jc w:val="both"/>
              <w:rPr>
                <w:rFonts w:asciiTheme="minorEastAsia" w:eastAsiaTheme="minorEastAsia" w:hAnsiTheme="minorEastAsia"/>
                <w:noProof/>
                <w:sz w:val="21"/>
                <w:szCs w:val="21"/>
                <w:lang w:eastAsia="ja-JP"/>
              </w:rPr>
            </w:pPr>
            <w:r w:rsidRPr="00BC751A">
              <w:rPr>
                <w:rFonts w:asciiTheme="minorEastAsia" w:eastAsiaTheme="minorEastAsia" w:hAnsiTheme="minorEastAsia"/>
                <w:sz w:val="21"/>
                <w:szCs w:val="21"/>
                <w:lang w:eastAsia="ja-JP"/>
              </w:rPr>
              <w:t>本</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事では地下</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位が地表</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近辺と</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いことから、</w:t>
            </w:r>
            <w:r w:rsidRPr="00BC751A">
              <w:rPr>
                <w:rFonts w:asciiTheme="minorEastAsia" w:eastAsiaTheme="minorEastAsia" w:hAnsiTheme="minorEastAsia"/>
                <w:sz w:val="21"/>
                <w:szCs w:val="21"/>
                <w:lang w:eastAsia="ja-JP"/>
              </w:rPr>
              <w:t>SMW</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留壁は掘削底</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の崩壊防</w:t>
            </w:r>
            <w:r w:rsidRPr="00BC751A">
              <w:rPr>
                <w:rFonts w:asciiTheme="minorEastAsia" w:eastAsiaTheme="minorEastAsia" w:hAnsiTheme="minorEastAsia" w:cs="Microsoft YaHei" w:hint="eastAsia"/>
                <w:sz w:val="21"/>
                <w:szCs w:val="21"/>
                <w:lang w:eastAsia="ja-JP"/>
              </w:rPr>
              <w:t>防止</w:t>
            </w:r>
            <w:r w:rsidRPr="00BC751A">
              <w:rPr>
                <w:rFonts w:ascii="ＭＳ 明朝" w:eastAsia="ＭＳ 明朝" w:hAnsi="ＭＳ 明朝" w:cs="ＭＳ 明朝" w:hint="eastAsia"/>
                <w:sz w:val="21"/>
                <w:szCs w:val="21"/>
                <w:lang w:eastAsia="ja-JP"/>
              </w:rPr>
              <w:t>のために深</w:t>
            </w:r>
            <w:r w:rsidRPr="00BC751A">
              <w:rPr>
                <w:rFonts w:asciiTheme="minorEastAsia" w:eastAsiaTheme="minorEastAsia" w:hAnsiTheme="minorEastAsia"/>
                <w:spacing w:val="-4"/>
                <w:sz w:val="21"/>
                <w:szCs w:val="21"/>
                <w:lang w:eastAsia="ja-JP"/>
              </w:rPr>
              <w:t>い根</w:t>
            </w:r>
            <w:r w:rsidRPr="00BC751A">
              <w:rPr>
                <w:rFonts w:ascii="Microsoft YaHei" w:eastAsia="Microsoft YaHei" w:hAnsi="Microsoft YaHei" w:cs="Microsoft YaHei" w:hint="eastAsia"/>
                <w:spacing w:val="-4"/>
                <w:sz w:val="21"/>
                <w:szCs w:val="21"/>
                <w:lang w:eastAsia="ja-JP"/>
              </w:rPr>
              <w:t>⼊</w:t>
            </w:r>
            <w:r w:rsidRPr="00BC751A">
              <w:rPr>
                <w:rFonts w:ascii="ＭＳ 明朝" w:eastAsia="ＭＳ 明朝" w:hAnsi="ＭＳ 明朝" w:cs="ＭＳ 明朝" w:hint="eastAsia"/>
                <w:spacing w:val="-4"/>
                <w:sz w:val="21"/>
                <w:szCs w:val="21"/>
                <w:lang w:eastAsia="ja-JP"/>
              </w:rPr>
              <w:t>れとなることから、</w:t>
            </w:r>
            <w:r w:rsidRPr="00BC751A">
              <w:rPr>
                <w:rFonts w:asciiTheme="minorEastAsia" w:eastAsiaTheme="minorEastAsia" w:hAnsiTheme="minorEastAsia"/>
                <w:sz w:val="21"/>
                <w:szCs w:val="21"/>
                <w:lang w:eastAsia="ja-JP"/>
              </w:rPr>
              <w:t>SMW</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留壁</w:t>
            </w:r>
            <w:r w:rsidRPr="00BC751A">
              <w:rPr>
                <w:rFonts w:asciiTheme="minorEastAsia" w:eastAsiaTheme="minorEastAsia" w:hAnsiTheme="minorEastAsia"/>
                <w:sz w:val="21"/>
                <w:szCs w:val="21"/>
                <w:lang w:eastAsia="ja-JP"/>
              </w:rPr>
              <w:t>の根</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れ部でも確実な遮</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性能を確保する為に、</w:t>
            </w:r>
            <w:r w:rsidRPr="00BC751A">
              <w:rPr>
                <w:rFonts w:asciiTheme="minorEastAsia" w:eastAsiaTheme="minorEastAsia" w:hAnsiTheme="minorEastAsia" w:hint="eastAsia"/>
                <w:sz w:val="21"/>
                <w:szCs w:val="21"/>
                <w:lang w:eastAsia="ja-JP"/>
              </w:rPr>
              <w:t>先行削孔</w:t>
            </w:r>
            <w:r w:rsidRPr="00BC751A">
              <w:rPr>
                <w:rFonts w:asciiTheme="minorEastAsia" w:eastAsiaTheme="minorEastAsia" w:hAnsiTheme="minorEastAsia"/>
                <w:sz w:val="21"/>
                <w:szCs w:val="21"/>
                <w:lang w:eastAsia="ja-JP"/>
              </w:rPr>
              <w:t>を実施</w:t>
            </w:r>
            <w:r w:rsidRPr="00BC751A">
              <w:rPr>
                <w:rFonts w:asciiTheme="minorEastAsia" w:eastAsiaTheme="minorEastAsia" w:hAnsiTheme="minorEastAsia" w:hint="eastAsia"/>
                <w:sz w:val="21"/>
                <w:szCs w:val="21"/>
                <w:lang w:eastAsia="ja-JP"/>
              </w:rPr>
              <w:t>する</w:t>
            </w:r>
            <w:r w:rsidRPr="00BC751A">
              <w:rPr>
                <w:rFonts w:asciiTheme="minorEastAsia" w:eastAsiaTheme="minorEastAsia" w:hAnsiTheme="minorEastAsia"/>
                <w:sz w:val="21"/>
                <w:szCs w:val="21"/>
                <w:lang w:eastAsia="ja-JP"/>
              </w:rPr>
              <w:t>。</w:t>
            </w:r>
          </w:p>
        </w:tc>
      </w:tr>
      <w:tr w:rsidR="003173B8" w:rsidRPr="00BC751A" w:rsidTr="009132A1">
        <w:trPr>
          <w:trHeight w:val="842"/>
        </w:trPr>
        <w:tc>
          <w:tcPr>
            <w:tcW w:w="454" w:type="dxa"/>
            <w:vAlign w:val="center"/>
          </w:tcPr>
          <w:p w:rsidR="003173B8" w:rsidRPr="00BC751A" w:rsidRDefault="003173B8" w:rsidP="00BC751A">
            <w:pPr>
              <w:pStyle w:val="TableParagraph"/>
              <w:jc w:val="center"/>
              <w:rPr>
                <w:sz w:val="21"/>
                <w:szCs w:val="21"/>
                <w:lang w:eastAsia="ja-JP"/>
              </w:rPr>
            </w:pPr>
            <w:r>
              <w:rPr>
                <w:rFonts w:hint="eastAsia"/>
                <w:sz w:val="21"/>
                <w:szCs w:val="21"/>
                <w:lang w:eastAsia="ja-JP"/>
              </w:rPr>
              <w:t>7</w:t>
            </w:r>
          </w:p>
        </w:tc>
        <w:tc>
          <w:tcPr>
            <w:tcW w:w="454" w:type="dxa"/>
            <w:vMerge/>
            <w:shd w:val="clear" w:color="auto" w:fill="D9D9D9" w:themeFill="background1" w:themeFillShade="D9"/>
          </w:tcPr>
          <w:p w:rsidR="003173B8" w:rsidRPr="00BC751A" w:rsidRDefault="003173B8" w:rsidP="00BC751A">
            <w:pPr>
              <w:pStyle w:val="TableParagraph"/>
              <w:rPr>
                <w:sz w:val="21"/>
                <w:szCs w:val="21"/>
                <w:lang w:eastAsia="ja-JP"/>
              </w:rPr>
            </w:pPr>
          </w:p>
        </w:tc>
        <w:tc>
          <w:tcPr>
            <w:tcW w:w="9300" w:type="dxa"/>
          </w:tcPr>
          <w:p w:rsidR="003173B8" w:rsidRPr="00BC751A" w:rsidRDefault="003173B8" w:rsidP="00BC751A">
            <w:pPr>
              <w:pStyle w:val="TableParagraph"/>
              <w:spacing w:before="107" w:line="300" w:lineRule="exact"/>
              <w:ind w:left="34" w:right="108" w:firstLine="181"/>
              <w:jc w:val="both"/>
              <w:rPr>
                <w:rFonts w:asciiTheme="minorEastAsia" w:eastAsiaTheme="minorEastAsia" w:hAnsiTheme="minorEastAsia"/>
                <w:sz w:val="21"/>
                <w:szCs w:val="21"/>
                <w:lang w:eastAsia="ja-JP"/>
              </w:rPr>
            </w:pPr>
            <w:r w:rsidRPr="00BC751A">
              <w:rPr>
                <w:rFonts w:asciiTheme="minorEastAsia" w:eastAsiaTheme="minorEastAsia" w:hAnsiTheme="minorEastAsia" w:hint="eastAsia"/>
                <w:sz w:val="21"/>
                <w:szCs w:val="21"/>
                <w:lang w:eastAsia="ja-JP"/>
              </w:rPr>
              <w:t>函体</w:t>
            </w:r>
            <w:r w:rsidRPr="00BC751A">
              <w:rPr>
                <w:rFonts w:asciiTheme="minorEastAsia" w:eastAsiaTheme="minorEastAsia" w:hAnsiTheme="minorEastAsia"/>
                <w:sz w:val="21"/>
                <w:szCs w:val="21"/>
                <w:lang w:eastAsia="ja-JP"/>
              </w:rPr>
              <w:t>内部掘削時の安定のために</w:t>
            </w:r>
            <w:r w:rsidRPr="00BC751A">
              <w:rPr>
                <w:rFonts w:ascii="ＭＳ 明朝" w:eastAsia="ＭＳ 明朝" w:hAnsi="ＭＳ 明朝" w:cs="ＭＳ 明朝" w:hint="eastAsia"/>
                <w:spacing w:val="-1"/>
                <w:sz w:val="21"/>
                <w:szCs w:val="21"/>
                <w:lang w:eastAsia="ja-JP"/>
              </w:rPr>
              <w:t>薬液注</w:t>
            </w:r>
            <w:r w:rsidRPr="00BC751A">
              <w:rPr>
                <w:rFonts w:ascii="Microsoft YaHei" w:eastAsia="Microsoft YaHei" w:hAnsi="Microsoft YaHei" w:cs="Microsoft YaHei" w:hint="eastAsia"/>
                <w:spacing w:val="-1"/>
                <w:sz w:val="21"/>
                <w:szCs w:val="21"/>
                <w:lang w:eastAsia="ja-JP"/>
              </w:rPr>
              <w:t>⼊⼯</w:t>
            </w:r>
            <w:r w:rsidRPr="00BC751A">
              <w:rPr>
                <w:rFonts w:asciiTheme="minorEastAsia" w:eastAsiaTheme="minorEastAsia" w:hAnsiTheme="minorEastAsia"/>
                <w:sz w:val="21"/>
                <w:szCs w:val="21"/>
                <w:lang w:eastAsia="ja-JP"/>
              </w:rPr>
              <w:t>を</w:t>
            </w:r>
            <w:r w:rsidRPr="00BC751A">
              <w:rPr>
                <w:rFonts w:asciiTheme="minorEastAsia" w:eastAsiaTheme="minorEastAsia" w:hAnsiTheme="minorEastAsia" w:hint="eastAsia"/>
                <w:sz w:val="21"/>
                <w:szCs w:val="21"/>
                <w:lang w:eastAsia="ja-JP"/>
              </w:rPr>
              <w:t>実施する。なお</w:t>
            </w:r>
            <w:r w:rsidRPr="00BC751A">
              <w:rPr>
                <w:rFonts w:ascii="ＭＳ 明朝" w:eastAsia="ＭＳ 明朝" w:hAnsi="ＭＳ 明朝" w:cs="ＭＳ 明朝" w:hint="eastAsia"/>
                <w:sz w:val="21"/>
                <w:szCs w:val="21"/>
                <w:lang w:eastAsia="ja-JP"/>
              </w:rPr>
              <w:t>、『</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重管ダブルパッカー式』とする</w:t>
            </w:r>
            <w:r w:rsidRPr="00BC751A">
              <w:rPr>
                <w:rFonts w:asciiTheme="minorEastAsia" w:eastAsiaTheme="minorEastAsia" w:hAnsiTheme="minorEastAsia"/>
                <w:sz w:val="21"/>
                <w:szCs w:val="21"/>
                <w:lang w:eastAsia="ja-JP"/>
              </w:rPr>
              <w:t>。</w:t>
            </w:r>
          </w:p>
        </w:tc>
      </w:tr>
      <w:tr w:rsidR="003173B8" w:rsidRPr="00BC751A" w:rsidTr="009132A1">
        <w:trPr>
          <w:trHeight w:val="1109"/>
        </w:trPr>
        <w:tc>
          <w:tcPr>
            <w:tcW w:w="454" w:type="dxa"/>
            <w:vAlign w:val="center"/>
          </w:tcPr>
          <w:p w:rsidR="003173B8" w:rsidRPr="00BC751A" w:rsidRDefault="003173B8" w:rsidP="00BC751A">
            <w:pPr>
              <w:pStyle w:val="TableParagraph"/>
              <w:jc w:val="center"/>
              <w:rPr>
                <w:sz w:val="21"/>
                <w:szCs w:val="21"/>
                <w:lang w:eastAsia="ja-JP"/>
              </w:rPr>
            </w:pPr>
            <w:r>
              <w:rPr>
                <w:rFonts w:hint="eastAsia"/>
                <w:sz w:val="21"/>
                <w:szCs w:val="21"/>
                <w:lang w:eastAsia="ja-JP"/>
              </w:rPr>
              <w:t>8</w:t>
            </w:r>
          </w:p>
        </w:tc>
        <w:tc>
          <w:tcPr>
            <w:tcW w:w="454" w:type="dxa"/>
            <w:vMerge/>
            <w:shd w:val="clear" w:color="auto" w:fill="D9D9D9" w:themeFill="background1" w:themeFillShade="D9"/>
          </w:tcPr>
          <w:p w:rsidR="003173B8" w:rsidRPr="00BC751A" w:rsidRDefault="003173B8" w:rsidP="00BC751A">
            <w:pPr>
              <w:pStyle w:val="TableParagraph"/>
              <w:rPr>
                <w:sz w:val="21"/>
                <w:szCs w:val="21"/>
                <w:lang w:eastAsia="ja-JP"/>
              </w:rPr>
            </w:pPr>
          </w:p>
        </w:tc>
        <w:tc>
          <w:tcPr>
            <w:tcW w:w="9300" w:type="dxa"/>
          </w:tcPr>
          <w:p w:rsidR="003173B8" w:rsidRPr="00BC751A" w:rsidRDefault="003173B8" w:rsidP="00BC751A">
            <w:pPr>
              <w:pStyle w:val="TableParagraph"/>
              <w:spacing w:before="107" w:line="300" w:lineRule="exact"/>
              <w:ind w:left="34" w:right="108" w:firstLine="181"/>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重管ダブルパッカー</w:t>
            </w:r>
            <w:r w:rsidRPr="00BC751A">
              <w:rPr>
                <w:rFonts w:asciiTheme="minorEastAsia" w:eastAsiaTheme="minorEastAsia" w:hAnsiTheme="minorEastAsia"/>
                <w:sz w:val="21"/>
                <w:szCs w:val="21"/>
                <w:lang w:eastAsia="ja-JP"/>
              </w:rPr>
              <w:t>』は昼間作業にて実施</w:t>
            </w:r>
            <w:r w:rsidRPr="00BC751A">
              <w:rPr>
                <w:rFonts w:asciiTheme="minorEastAsia" w:eastAsiaTheme="minorEastAsia" w:hAnsiTheme="minorEastAsia"/>
                <w:spacing w:val="-1"/>
                <w:sz w:val="21"/>
                <w:szCs w:val="21"/>
                <w:lang w:eastAsia="ja-JP"/>
              </w:rPr>
              <w:t>する計画と</w:t>
            </w:r>
            <w:r w:rsidRPr="00BC751A">
              <w:rPr>
                <w:rFonts w:asciiTheme="minorEastAsia" w:eastAsiaTheme="minorEastAsia" w:hAnsiTheme="minorEastAsia" w:hint="eastAsia"/>
                <w:spacing w:val="-1"/>
                <w:sz w:val="21"/>
                <w:szCs w:val="21"/>
                <w:lang w:eastAsia="ja-JP"/>
              </w:rPr>
              <w:t>する</w:t>
            </w:r>
            <w:r w:rsidRPr="00BC751A">
              <w:rPr>
                <w:rFonts w:asciiTheme="minorEastAsia" w:eastAsiaTheme="minorEastAsia" w:hAnsiTheme="minorEastAsia"/>
                <w:spacing w:val="-1"/>
                <w:sz w:val="21"/>
                <w:szCs w:val="21"/>
                <w:lang w:eastAsia="ja-JP"/>
              </w:rPr>
              <w:t>。施</w:t>
            </w:r>
            <w:r w:rsidRPr="00BC751A">
              <w:rPr>
                <w:rFonts w:ascii="Microsoft YaHei" w:eastAsia="Microsoft YaHei" w:hAnsi="Microsoft YaHei" w:cs="Microsoft YaHei" w:hint="eastAsia"/>
                <w:spacing w:val="-1"/>
                <w:sz w:val="21"/>
                <w:szCs w:val="21"/>
                <w:lang w:eastAsia="ja-JP"/>
              </w:rPr>
              <w:t>⼯</w:t>
            </w:r>
            <w:r w:rsidRPr="00BC751A">
              <w:rPr>
                <w:rFonts w:ascii="ＭＳ 明朝" w:eastAsia="ＭＳ 明朝" w:hAnsi="ＭＳ 明朝" w:cs="ＭＳ 明朝" w:hint="eastAsia"/>
                <w:spacing w:val="-1"/>
                <w:sz w:val="21"/>
                <w:szCs w:val="21"/>
                <w:lang w:eastAsia="ja-JP"/>
              </w:rPr>
              <w:t>に伴う軌道計測により</w:t>
            </w:r>
            <w:r w:rsidRPr="00BC751A">
              <w:rPr>
                <w:rFonts w:asciiTheme="minorEastAsia" w:eastAsiaTheme="minorEastAsia" w:hAnsiTheme="minorEastAsia" w:hint="eastAsia"/>
                <w:sz w:val="21"/>
                <w:szCs w:val="21"/>
                <w:lang w:eastAsia="ja-JP"/>
              </w:rPr>
              <w:t>発生</w:t>
            </w:r>
            <w:r w:rsidRPr="00BC751A">
              <w:rPr>
                <w:rFonts w:ascii="ＭＳ 明朝" w:eastAsia="ＭＳ 明朝" w:hAnsi="ＭＳ 明朝" w:cs="ＭＳ 明朝" w:hint="eastAsia"/>
                <w:sz w:val="21"/>
                <w:szCs w:val="21"/>
                <w:lang w:eastAsia="ja-JP"/>
              </w:rPr>
              <w:t>する作業中断時間により、著しく作業効率が低下する場合には協議にもとづき変更の対象とする</w:t>
            </w:r>
            <w:r w:rsidRPr="00BC751A">
              <w:rPr>
                <w:rFonts w:asciiTheme="minorEastAsia" w:eastAsiaTheme="minorEastAsia" w:hAnsiTheme="minorEastAsia"/>
                <w:sz w:val="21"/>
                <w:szCs w:val="21"/>
                <w:lang w:eastAsia="ja-JP"/>
              </w:rPr>
              <w:t>。</w:t>
            </w:r>
          </w:p>
        </w:tc>
      </w:tr>
      <w:tr w:rsidR="003173B8" w:rsidRPr="00BC751A" w:rsidTr="009132A1">
        <w:trPr>
          <w:trHeight w:val="842"/>
        </w:trPr>
        <w:tc>
          <w:tcPr>
            <w:tcW w:w="454" w:type="dxa"/>
            <w:vAlign w:val="center"/>
          </w:tcPr>
          <w:p w:rsidR="003173B8" w:rsidRPr="00BC751A" w:rsidRDefault="003173B8" w:rsidP="00BC751A">
            <w:pPr>
              <w:pStyle w:val="TableParagraph"/>
              <w:jc w:val="center"/>
              <w:rPr>
                <w:sz w:val="21"/>
                <w:szCs w:val="21"/>
                <w:lang w:eastAsia="ja-JP"/>
              </w:rPr>
            </w:pPr>
            <w:r>
              <w:rPr>
                <w:rFonts w:hint="eastAsia"/>
                <w:sz w:val="21"/>
                <w:szCs w:val="21"/>
                <w:lang w:eastAsia="ja-JP"/>
              </w:rPr>
              <w:t>9</w:t>
            </w:r>
          </w:p>
        </w:tc>
        <w:tc>
          <w:tcPr>
            <w:tcW w:w="454" w:type="dxa"/>
            <w:vMerge/>
            <w:shd w:val="clear" w:color="auto" w:fill="D9D9D9" w:themeFill="background1" w:themeFillShade="D9"/>
          </w:tcPr>
          <w:p w:rsidR="003173B8" w:rsidRPr="00BC751A" w:rsidRDefault="003173B8" w:rsidP="00BC751A">
            <w:pPr>
              <w:pStyle w:val="TableParagraph"/>
              <w:rPr>
                <w:sz w:val="21"/>
                <w:szCs w:val="21"/>
                <w:lang w:eastAsia="ja-JP"/>
              </w:rPr>
            </w:pPr>
          </w:p>
        </w:tc>
        <w:tc>
          <w:tcPr>
            <w:tcW w:w="9300" w:type="dxa"/>
          </w:tcPr>
          <w:p w:rsidR="003173B8" w:rsidRPr="00BC751A" w:rsidRDefault="003173B8" w:rsidP="00BC751A">
            <w:pPr>
              <w:pStyle w:val="TableParagraph"/>
              <w:spacing w:before="107" w:line="300" w:lineRule="exact"/>
              <w:ind w:left="34" w:right="108" w:firstLine="181"/>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薬液注</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重管ダブルパッカー</w:t>
            </w:r>
            <w:r w:rsidRPr="00BC751A">
              <w:rPr>
                <w:rFonts w:asciiTheme="minorEastAsia" w:eastAsiaTheme="minorEastAsia" w:hAnsiTheme="minorEastAsia"/>
                <w:sz w:val="21"/>
                <w:szCs w:val="21"/>
                <w:lang w:eastAsia="ja-JP"/>
              </w:rPr>
              <w:t>）において</w:t>
            </w:r>
            <w:r w:rsidRPr="00BC751A">
              <w:rPr>
                <w:rFonts w:asciiTheme="minorEastAsia" w:eastAsiaTheme="minorEastAsia" w:hAnsiTheme="minorEastAsia" w:hint="eastAsia"/>
                <w:sz w:val="21"/>
                <w:szCs w:val="21"/>
                <w:lang w:eastAsia="ja-JP"/>
              </w:rPr>
              <w:t>は、軌道式への影響を考慮して</w:t>
            </w:r>
            <w:r w:rsidRPr="00BC751A">
              <w:rPr>
                <w:rFonts w:asciiTheme="minorEastAsia" w:eastAsiaTheme="minorEastAsia" w:hAnsiTheme="minorEastAsia"/>
                <w:sz w:val="21"/>
                <w:szCs w:val="21"/>
                <w:lang w:eastAsia="ja-JP"/>
              </w:rPr>
              <w:t>注</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管の上部を鋼管に変更し引き抜く</w:t>
            </w:r>
            <w:r w:rsidRPr="00BC751A">
              <w:rPr>
                <w:rFonts w:asciiTheme="minorEastAsia" w:eastAsiaTheme="minorEastAsia" w:hAnsiTheme="minorEastAsia"/>
                <w:sz w:val="21"/>
                <w:szCs w:val="21"/>
                <w:lang w:eastAsia="ja-JP"/>
              </w:rPr>
              <w:t>こと</w:t>
            </w:r>
            <w:r w:rsidRPr="00BC751A">
              <w:rPr>
                <w:rFonts w:asciiTheme="minorEastAsia" w:eastAsiaTheme="minorEastAsia" w:hAnsiTheme="minorEastAsia" w:hint="eastAsia"/>
                <w:sz w:val="21"/>
                <w:szCs w:val="21"/>
                <w:lang w:eastAsia="ja-JP"/>
              </w:rPr>
              <w:t>とする</w:t>
            </w:r>
            <w:r w:rsidRPr="00BC751A">
              <w:rPr>
                <w:rFonts w:asciiTheme="minorEastAsia" w:eastAsiaTheme="minorEastAsia" w:hAnsiTheme="minorEastAsia"/>
                <w:sz w:val="21"/>
                <w:szCs w:val="21"/>
                <w:lang w:eastAsia="ja-JP"/>
              </w:rPr>
              <w:t>。</w:t>
            </w:r>
          </w:p>
        </w:tc>
      </w:tr>
      <w:tr w:rsidR="003173B8" w:rsidRPr="00BC751A" w:rsidTr="009132A1">
        <w:trPr>
          <w:trHeight w:val="842"/>
        </w:trPr>
        <w:tc>
          <w:tcPr>
            <w:tcW w:w="454" w:type="dxa"/>
            <w:vAlign w:val="center"/>
          </w:tcPr>
          <w:p w:rsidR="003173B8" w:rsidRPr="00BC751A" w:rsidRDefault="003173B8" w:rsidP="00BC751A">
            <w:pPr>
              <w:pStyle w:val="TableParagraph"/>
              <w:jc w:val="center"/>
              <w:rPr>
                <w:sz w:val="21"/>
                <w:szCs w:val="21"/>
                <w:lang w:eastAsia="ja-JP"/>
              </w:rPr>
            </w:pPr>
            <w:r>
              <w:rPr>
                <w:rFonts w:hint="eastAsia"/>
                <w:sz w:val="21"/>
                <w:szCs w:val="21"/>
                <w:lang w:eastAsia="ja-JP"/>
              </w:rPr>
              <w:t>10</w:t>
            </w:r>
          </w:p>
        </w:tc>
        <w:tc>
          <w:tcPr>
            <w:tcW w:w="454" w:type="dxa"/>
            <w:vMerge/>
            <w:shd w:val="clear" w:color="auto" w:fill="D9D9D9" w:themeFill="background1" w:themeFillShade="D9"/>
          </w:tcPr>
          <w:p w:rsidR="003173B8" w:rsidRPr="00BC751A" w:rsidRDefault="003173B8" w:rsidP="00BC751A">
            <w:pPr>
              <w:pStyle w:val="TableParagraph"/>
              <w:rPr>
                <w:sz w:val="21"/>
                <w:szCs w:val="21"/>
                <w:lang w:eastAsia="ja-JP"/>
              </w:rPr>
            </w:pPr>
          </w:p>
        </w:tc>
        <w:tc>
          <w:tcPr>
            <w:tcW w:w="9300" w:type="dxa"/>
          </w:tcPr>
          <w:p w:rsidR="003173B8" w:rsidRPr="00BC751A" w:rsidRDefault="003173B8" w:rsidP="00BC751A">
            <w:pPr>
              <w:pStyle w:val="TableParagraph"/>
              <w:spacing w:before="107" w:line="300" w:lineRule="exact"/>
              <w:ind w:left="34" w:right="108" w:firstLine="181"/>
              <w:jc w:val="both"/>
              <w:rPr>
                <w:rFonts w:asciiTheme="minorEastAsia" w:eastAsiaTheme="minorEastAsia" w:hAnsiTheme="minorEastAsia"/>
                <w:sz w:val="21"/>
                <w:szCs w:val="21"/>
                <w:lang w:eastAsia="ja-JP"/>
              </w:rPr>
            </w:pPr>
            <w:r w:rsidRPr="00BC751A">
              <w:rPr>
                <w:rFonts w:ascii="ＭＳ 明朝" w:eastAsia="ＭＳ 明朝" w:hAnsi="ＭＳ 明朝" w:cs="ＭＳ 明朝" w:hint="eastAsia"/>
                <w:sz w:val="21"/>
                <w:szCs w:val="21"/>
                <w:lang w:eastAsia="ja-JP"/>
              </w:rPr>
              <w:t>重機稼働範囲等、当該区域の必要地耐</w:t>
            </w:r>
            <w:r w:rsidRPr="00BC751A">
              <w:rPr>
                <w:rFonts w:asciiTheme="minorEastAsia" w:eastAsiaTheme="minorEastAsia" w:hAnsiTheme="minorEastAsia" w:cs="Microsoft YaHei" w:hint="eastAsia"/>
                <w:sz w:val="21"/>
                <w:szCs w:val="21"/>
                <w:lang w:eastAsia="ja-JP"/>
              </w:rPr>
              <w:t>力</w:t>
            </w:r>
            <w:r w:rsidRPr="00BC751A">
              <w:rPr>
                <w:rFonts w:ascii="ＭＳ 明朝" w:eastAsia="ＭＳ 明朝" w:hAnsi="ＭＳ 明朝" w:cs="ＭＳ 明朝" w:hint="eastAsia"/>
                <w:sz w:val="21"/>
                <w:szCs w:val="21"/>
                <w:lang w:eastAsia="ja-JP"/>
              </w:rPr>
              <w:t>を確保するための</w:t>
            </w:r>
            <w:r w:rsidRPr="00BC751A">
              <w:rPr>
                <w:rFonts w:asciiTheme="minorEastAsia" w:eastAsiaTheme="minorEastAsia" w:hAnsiTheme="minorEastAsia"/>
                <w:sz w:val="21"/>
                <w:szCs w:val="21"/>
                <w:lang w:eastAsia="ja-JP"/>
              </w:rPr>
              <w:t>地盤改良および厚さ20cmの砕</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路盤を計上する。</w:t>
            </w:r>
          </w:p>
        </w:tc>
      </w:tr>
      <w:tr w:rsidR="003173B8" w:rsidRPr="00BC751A" w:rsidTr="009132A1">
        <w:trPr>
          <w:trHeight w:val="842"/>
        </w:trPr>
        <w:tc>
          <w:tcPr>
            <w:tcW w:w="454" w:type="dxa"/>
            <w:vAlign w:val="center"/>
          </w:tcPr>
          <w:p w:rsidR="003173B8" w:rsidRPr="00BC751A" w:rsidRDefault="003173B8" w:rsidP="00BC751A">
            <w:pPr>
              <w:pStyle w:val="TableParagraph"/>
              <w:jc w:val="center"/>
              <w:rPr>
                <w:rFonts w:hint="eastAsia"/>
                <w:sz w:val="21"/>
                <w:szCs w:val="21"/>
                <w:lang w:eastAsia="ja-JP"/>
              </w:rPr>
            </w:pPr>
            <w:r>
              <w:rPr>
                <w:rFonts w:hint="eastAsia"/>
                <w:sz w:val="21"/>
                <w:szCs w:val="21"/>
                <w:lang w:eastAsia="ja-JP"/>
              </w:rPr>
              <w:t>11</w:t>
            </w:r>
          </w:p>
        </w:tc>
        <w:tc>
          <w:tcPr>
            <w:tcW w:w="454" w:type="dxa"/>
            <w:vMerge/>
            <w:shd w:val="clear" w:color="auto" w:fill="D9D9D9" w:themeFill="background1" w:themeFillShade="D9"/>
          </w:tcPr>
          <w:p w:rsidR="003173B8" w:rsidRPr="00BC751A" w:rsidRDefault="003173B8" w:rsidP="00BC751A">
            <w:pPr>
              <w:pStyle w:val="TableParagraph"/>
              <w:rPr>
                <w:sz w:val="21"/>
                <w:szCs w:val="21"/>
                <w:lang w:eastAsia="ja-JP"/>
              </w:rPr>
            </w:pPr>
          </w:p>
        </w:tc>
        <w:tc>
          <w:tcPr>
            <w:tcW w:w="9300" w:type="dxa"/>
          </w:tcPr>
          <w:p w:rsidR="003173B8" w:rsidRPr="00BC751A" w:rsidRDefault="003173B8" w:rsidP="00BC751A">
            <w:pPr>
              <w:pStyle w:val="TableParagraph"/>
              <w:spacing w:before="107" w:line="300" w:lineRule="exact"/>
              <w:ind w:left="34" w:right="108" w:firstLine="181"/>
              <w:jc w:val="both"/>
              <w:rPr>
                <w:rFonts w:ascii="ＭＳ 明朝" w:eastAsia="ＭＳ 明朝" w:hAnsi="ＭＳ 明朝" w:cs="ＭＳ 明朝" w:hint="eastAsia"/>
                <w:sz w:val="21"/>
                <w:szCs w:val="21"/>
                <w:lang w:eastAsia="ja-JP"/>
              </w:rPr>
            </w:pPr>
            <w:r w:rsidRPr="00BC751A">
              <w:rPr>
                <w:rFonts w:asciiTheme="minorEastAsia" w:eastAsiaTheme="minorEastAsia" w:hAnsiTheme="minorEastAsia"/>
                <w:sz w:val="21"/>
                <w:szCs w:val="21"/>
                <w:lang w:eastAsia="ja-JP"/>
              </w:rPr>
              <w:t>上記の薬液注</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の施</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にあたり、施</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範囲に現況の</w:t>
            </w:r>
            <w:r w:rsidRPr="00BC751A">
              <w:rPr>
                <w:rFonts w:asciiTheme="minorEastAsia" w:eastAsiaTheme="minorEastAsia" w:hAnsiTheme="minorEastAsia"/>
                <w:sz w:val="21"/>
                <w:szCs w:val="21"/>
                <w:u w:val="single"/>
                <w:lang w:eastAsia="ja-JP"/>
              </w:rPr>
              <w:t>線路側溝</w:t>
            </w:r>
            <w:r w:rsidRPr="00BC751A">
              <w:rPr>
                <w:rFonts w:asciiTheme="minorEastAsia" w:eastAsiaTheme="minorEastAsia" w:hAnsiTheme="minorEastAsia"/>
                <w:sz w:val="21"/>
                <w:szCs w:val="21"/>
                <w:lang w:eastAsia="ja-JP"/>
              </w:rPr>
              <w:t>があり施</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に</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障することから、先</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して</w:t>
            </w:r>
            <w:r w:rsidRPr="00BC751A">
              <w:rPr>
                <w:rFonts w:asciiTheme="minorEastAsia" w:eastAsiaTheme="minorEastAsia" w:hAnsiTheme="minorEastAsia"/>
                <w:sz w:val="21"/>
                <w:szCs w:val="21"/>
                <w:u w:val="single"/>
                <w:lang w:eastAsia="ja-JP"/>
              </w:rPr>
              <w:t>埋め戻し</w:t>
            </w:r>
            <w:r w:rsidRPr="00BC751A">
              <w:rPr>
                <w:rFonts w:asciiTheme="minorEastAsia" w:eastAsiaTheme="minorEastAsia" w:hAnsiTheme="minorEastAsia"/>
                <w:sz w:val="21"/>
                <w:szCs w:val="21"/>
                <w:lang w:eastAsia="ja-JP"/>
              </w:rPr>
              <w:t>を</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う。</w:t>
            </w:r>
          </w:p>
        </w:tc>
      </w:tr>
    </w:tbl>
    <w:p w:rsidR="00D94F0F" w:rsidRPr="00BC751A" w:rsidRDefault="00D94F0F">
      <w:pPr>
        <w:rPr>
          <w:sz w:val="21"/>
          <w:szCs w:val="21"/>
          <w:lang w:eastAsia="ja-JP"/>
        </w:rPr>
      </w:pPr>
    </w:p>
    <w:p w:rsidR="00D94F0F" w:rsidRPr="00BC751A" w:rsidRDefault="00D94F0F">
      <w:pPr>
        <w:rPr>
          <w:sz w:val="21"/>
          <w:szCs w:val="21"/>
          <w:lang w:eastAsia="ja-JP"/>
        </w:rPr>
        <w:sectPr w:rsidR="00D94F0F" w:rsidRPr="00BC751A" w:rsidSect="00055C6B">
          <w:type w:val="continuous"/>
          <w:pgSz w:w="11910" w:h="16840"/>
          <w:pgMar w:top="1021" w:right="851" w:bottom="567" w:left="964" w:header="720" w:footer="720" w:gutter="0"/>
          <w:cols w:space="720"/>
        </w:sectPr>
      </w:pPr>
    </w:p>
    <w:p w:rsidR="00D94F0F" w:rsidRPr="00BC751A" w:rsidRDefault="00D94F0F">
      <w:pPr>
        <w:jc w:val="center"/>
        <w:rPr>
          <w:sz w:val="21"/>
          <w:szCs w:val="21"/>
          <w:lang w:eastAsia="ja-JP"/>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454"/>
        <w:gridCol w:w="8865"/>
      </w:tblGrid>
      <w:tr w:rsidR="00BC751A" w:rsidRPr="00BC751A" w:rsidTr="00BC751A">
        <w:trPr>
          <w:trHeight w:val="397"/>
          <w:jc w:val="center"/>
        </w:trPr>
        <w:tc>
          <w:tcPr>
            <w:tcW w:w="908" w:type="dxa"/>
            <w:gridSpan w:val="2"/>
            <w:shd w:val="clear" w:color="auto" w:fill="0070C0"/>
          </w:tcPr>
          <w:p w:rsidR="00BC751A" w:rsidRPr="00BC751A" w:rsidRDefault="00BC751A" w:rsidP="007F53C8">
            <w:pPr>
              <w:pStyle w:val="TableParagraph"/>
              <w:spacing w:line="337" w:lineRule="exact"/>
              <w:ind w:left="230"/>
              <w:rPr>
                <w:rFonts w:asciiTheme="majorEastAsia" w:eastAsiaTheme="majorEastAsia" w:hAnsiTheme="majorEastAsia"/>
                <w:b/>
                <w:color w:val="FFFFFF" w:themeColor="background1"/>
                <w:sz w:val="21"/>
                <w:szCs w:val="21"/>
              </w:rPr>
            </w:pPr>
            <w:r w:rsidRPr="00BC751A">
              <w:rPr>
                <w:rFonts w:asciiTheme="majorEastAsia" w:eastAsiaTheme="majorEastAsia" w:hAnsiTheme="majorEastAsia"/>
                <w:b/>
                <w:color w:val="FFFFFF" w:themeColor="background1"/>
                <w:sz w:val="21"/>
                <w:szCs w:val="21"/>
              </w:rPr>
              <w:t>項</w:t>
            </w:r>
            <w:r w:rsidRPr="00BC751A">
              <w:rPr>
                <w:rFonts w:ascii="Microsoft JhengHei" w:eastAsia="Microsoft JhengHei" w:hAnsi="Microsoft JhengHei" w:cs="Microsoft JhengHei" w:hint="eastAsia"/>
                <w:b/>
                <w:color w:val="FFFFFF" w:themeColor="background1"/>
                <w:sz w:val="21"/>
                <w:szCs w:val="21"/>
              </w:rPr>
              <w:t>⽬</w:t>
            </w:r>
          </w:p>
        </w:tc>
        <w:tc>
          <w:tcPr>
            <w:tcW w:w="8865" w:type="dxa"/>
            <w:shd w:val="clear" w:color="auto" w:fill="0070C0"/>
          </w:tcPr>
          <w:p w:rsidR="00BC751A" w:rsidRPr="00BC751A" w:rsidRDefault="00BC751A" w:rsidP="007F53C8">
            <w:pPr>
              <w:pStyle w:val="TableParagraph"/>
              <w:spacing w:line="337" w:lineRule="exact"/>
              <w:jc w:val="center"/>
              <w:rPr>
                <w:rFonts w:asciiTheme="majorEastAsia" w:eastAsiaTheme="majorEastAsia" w:hAnsiTheme="majorEastAsia"/>
                <w:b/>
                <w:color w:val="FFFFFF" w:themeColor="background1"/>
                <w:sz w:val="21"/>
                <w:szCs w:val="21"/>
              </w:rPr>
            </w:pPr>
            <w:r w:rsidRPr="00BC751A">
              <w:rPr>
                <w:rFonts w:asciiTheme="majorEastAsia" w:eastAsiaTheme="majorEastAsia" w:hAnsiTheme="majorEastAsia"/>
                <w:b/>
                <w:color w:val="FFFFFF" w:themeColor="background1"/>
                <w:sz w:val="21"/>
                <w:szCs w:val="21"/>
              </w:rPr>
              <w:t>内</w:t>
            </w:r>
            <w:r w:rsidRPr="00BC751A">
              <w:rPr>
                <w:rFonts w:asciiTheme="majorEastAsia" w:eastAsiaTheme="majorEastAsia" w:hAnsiTheme="majorEastAsia" w:hint="eastAsia"/>
                <w:b/>
                <w:color w:val="FFFFFF" w:themeColor="background1"/>
                <w:sz w:val="21"/>
                <w:szCs w:val="21"/>
                <w:lang w:eastAsia="ja-JP"/>
              </w:rPr>
              <w:t xml:space="preserve">　</w:t>
            </w:r>
            <w:r w:rsidRPr="00BC751A">
              <w:rPr>
                <w:rFonts w:asciiTheme="majorEastAsia" w:eastAsiaTheme="majorEastAsia" w:hAnsiTheme="majorEastAsia"/>
                <w:b/>
                <w:color w:val="FFFFFF" w:themeColor="background1"/>
                <w:sz w:val="21"/>
                <w:szCs w:val="21"/>
              </w:rPr>
              <w:t>容</w:t>
            </w:r>
          </w:p>
        </w:tc>
      </w:tr>
      <w:tr w:rsidR="009132A1" w:rsidRPr="00BC751A" w:rsidTr="009132A1">
        <w:trPr>
          <w:trHeight w:val="1072"/>
          <w:jc w:val="center"/>
        </w:trPr>
        <w:tc>
          <w:tcPr>
            <w:tcW w:w="454" w:type="dxa"/>
            <w:tcBorders>
              <w:top w:val="single" w:sz="6" w:space="0" w:color="000000"/>
            </w:tcBorders>
            <w:vAlign w:val="center"/>
          </w:tcPr>
          <w:p w:rsidR="009132A1" w:rsidRPr="00BC751A" w:rsidRDefault="009132A1" w:rsidP="009132A1">
            <w:pPr>
              <w:pStyle w:val="TableParagraph"/>
              <w:ind w:right="105"/>
              <w:jc w:val="right"/>
              <w:rPr>
                <w:sz w:val="21"/>
                <w:szCs w:val="21"/>
              </w:rPr>
            </w:pPr>
            <w:r w:rsidRPr="00BC751A">
              <w:rPr>
                <w:rFonts w:hint="eastAsia"/>
                <w:sz w:val="21"/>
                <w:szCs w:val="21"/>
                <w:lang w:eastAsia="ja-JP"/>
              </w:rPr>
              <w:t>12</w:t>
            </w:r>
          </w:p>
        </w:tc>
        <w:tc>
          <w:tcPr>
            <w:tcW w:w="454" w:type="dxa"/>
            <w:vMerge w:val="restart"/>
            <w:tcBorders>
              <w:top w:val="single" w:sz="6" w:space="0" w:color="000000"/>
            </w:tcBorders>
            <w:shd w:val="clear" w:color="auto" w:fill="D9D9D9" w:themeFill="background1" w:themeFillShade="D9"/>
            <w:vAlign w:val="center"/>
          </w:tcPr>
          <w:p w:rsidR="009132A1" w:rsidRPr="00BC751A" w:rsidRDefault="009132A1" w:rsidP="009132A1">
            <w:pPr>
              <w:pStyle w:val="TableParagraph"/>
              <w:spacing w:line="218" w:lineRule="auto"/>
              <w:ind w:left="128" w:right="111"/>
              <w:rPr>
                <w:b/>
                <w:sz w:val="21"/>
                <w:szCs w:val="21"/>
              </w:rPr>
            </w:pPr>
            <w:r w:rsidRPr="00BC751A">
              <w:rPr>
                <w:b/>
                <w:sz w:val="21"/>
                <w:szCs w:val="21"/>
              </w:rPr>
              <w:t>個別</w:t>
            </w:r>
          </w:p>
          <w:p w:rsidR="009132A1" w:rsidRPr="00BC751A" w:rsidRDefault="009132A1" w:rsidP="009132A1">
            <w:pPr>
              <w:jc w:val="center"/>
              <w:rPr>
                <w:b/>
                <w:sz w:val="21"/>
                <w:szCs w:val="21"/>
              </w:rPr>
            </w:pPr>
            <w:r w:rsidRPr="00BC751A">
              <w:rPr>
                <w:b/>
                <w:sz w:val="21"/>
                <w:szCs w:val="21"/>
              </w:rPr>
              <w:t>⼯</w:t>
            </w:r>
          </w:p>
          <w:p w:rsidR="009132A1" w:rsidRPr="00BC751A" w:rsidRDefault="009132A1" w:rsidP="009132A1">
            <w:pPr>
              <w:jc w:val="center"/>
              <w:rPr>
                <w:sz w:val="21"/>
                <w:szCs w:val="21"/>
              </w:rPr>
            </w:pPr>
            <w:r w:rsidRPr="00BC751A">
              <w:rPr>
                <w:b/>
                <w:sz w:val="21"/>
                <w:szCs w:val="21"/>
              </w:rPr>
              <w:t>事</w:t>
            </w:r>
          </w:p>
        </w:tc>
        <w:tc>
          <w:tcPr>
            <w:tcW w:w="8865" w:type="dxa"/>
            <w:vAlign w:val="center"/>
          </w:tcPr>
          <w:p w:rsidR="009132A1" w:rsidRPr="00BC751A" w:rsidRDefault="009132A1" w:rsidP="009132A1">
            <w:pPr>
              <w:pStyle w:val="TableParagraph"/>
              <w:spacing w:before="1" w:line="300" w:lineRule="exact"/>
              <w:ind w:left="34" w:right="104" w:firstLine="179"/>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PCR推進のうち上床版および側壁の初回エレメント施</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sz w:val="21"/>
                <w:szCs w:val="21"/>
                <w:lang w:eastAsia="ja-JP"/>
              </w:rPr>
              <w:t>は極めて</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被りが</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さく、軌道への影響を警戒することから</w:t>
            </w:r>
            <w:r w:rsidRPr="00BC751A">
              <w:rPr>
                <w:rFonts w:asciiTheme="minorEastAsia" w:eastAsiaTheme="minorEastAsia" w:hAnsiTheme="minorEastAsia"/>
                <w:sz w:val="21"/>
                <w:szCs w:val="21"/>
                <w:lang w:eastAsia="ja-JP"/>
              </w:rPr>
              <w:t>線路閉鎖施</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sz w:val="21"/>
                <w:szCs w:val="21"/>
                <w:lang w:eastAsia="ja-JP"/>
              </w:rPr>
              <w:t>と</w:t>
            </w:r>
            <w:r w:rsidRPr="00BC751A">
              <w:rPr>
                <w:rFonts w:asciiTheme="minorEastAsia" w:eastAsiaTheme="minorEastAsia" w:hAnsiTheme="minorEastAsia" w:hint="eastAsia"/>
                <w:sz w:val="21"/>
                <w:szCs w:val="21"/>
                <w:lang w:eastAsia="ja-JP"/>
              </w:rPr>
              <w:t>する</w:t>
            </w:r>
            <w:r w:rsidRPr="00BC751A">
              <w:rPr>
                <w:rFonts w:asciiTheme="minorEastAsia" w:eastAsiaTheme="minorEastAsia" w:hAnsiTheme="minorEastAsia"/>
                <w:sz w:val="21"/>
                <w:szCs w:val="21"/>
                <w:lang w:eastAsia="ja-JP"/>
              </w:rPr>
              <w:t>。この区間における軌道変状の傾向によっては、</w:t>
            </w:r>
            <w:r w:rsidR="003173B8">
              <w:rPr>
                <w:rFonts w:asciiTheme="minorEastAsia" w:eastAsiaTheme="minorEastAsia" w:hAnsiTheme="minorEastAsia" w:hint="eastAsia"/>
                <w:sz w:val="21"/>
                <w:szCs w:val="21"/>
                <w:lang w:eastAsia="ja-JP"/>
              </w:rPr>
              <w:t>発注者・受注者相互の協議により、</w:t>
            </w:r>
            <w:r w:rsidRPr="00BC751A">
              <w:rPr>
                <w:rFonts w:asciiTheme="minorEastAsia" w:eastAsiaTheme="minorEastAsia" w:hAnsiTheme="minorEastAsia"/>
                <w:sz w:val="21"/>
                <w:szCs w:val="21"/>
                <w:lang w:eastAsia="ja-JP"/>
              </w:rPr>
              <w:t>線路閉鎖</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事の区間の拡</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cs="Microsoft YaHei" w:hint="eastAsia"/>
                <w:sz w:val="21"/>
                <w:szCs w:val="21"/>
                <w:lang w:eastAsia="ja-JP"/>
              </w:rPr>
              <w:t>・延長を</w:t>
            </w:r>
            <w:r w:rsidR="003173B8">
              <w:rPr>
                <w:rFonts w:ascii="ＭＳ 明朝" w:eastAsia="ＭＳ 明朝" w:hAnsi="ＭＳ 明朝" w:cs="ＭＳ 明朝" w:hint="eastAsia"/>
                <w:sz w:val="21"/>
                <w:szCs w:val="21"/>
                <w:lang w:eastAsia="ja-JP"/>
              </w:rPr>
              <w:t>検討する。</w:t>
            </w:r>
          </w:p>
        </w:tc>
      </w:tr>
      <w:tr w:rsidR="009132A1" w:rsidRPr="00BC751A" w:rsidTr="009132A1">
        <w:trPr>
          <w:trHeight w:val="1110"/>
          <w:jc w:val="center"/>
        </w:trPr>
        <w:tc>
          <w:tcPr>
            <w:tcW w:w="454" w:type="dxa"/>
            <w:vAlign w:val="center"/>
          </w:tcPr>
          <w:p w:rsidR="009132A1" w:rsidRPr="00BC751A" w:rsidRDefault="009132A1" w:rsidP="009132A1">
            <w:pPr>
              <w:pStyle w:val="TableParagraph"/>
              <w:ind w:right="105"/>
              <w:jc w:val="right"/>
              <w:rPr>
                <w:sz w:val="21"/>
                <w:szCs w:val="21"/>
              </w:rPr>
            </w:pPr>
            <w:r w:rsidRPr="00BC751A">
              <w:rPr>
                <w:rFonts w:hint="eastAsia"/>
                <w:sz w:val="21"/>
                <w:szCs w:val="21"/>
                <w:lang w:eastAsia="ja-JP"/>
              </w:rPr>
              <w:t>13</w:t>
            </w:r>
          </w:p>
        </w:tc>
        <w:tc>
          <w:tcPr>
            <w:tcW w:w="454" w:type="dxa"/>
            <w:vMerge/>
            <w:shd w:val="clear" w:color="auto" w:fill="D9D9D9" w:themeFill="background1" w:themeFillShade="D9"/>
          </w:tcPr>
          <w:p w:rsidR="009132A1" w:rsidRPr="00BC751A" w:rsidRDefault="009132A1" w:rsidP="009132A1">
            <w:pPr>
              <w:rPr>
                <w:sz w:val="21"/>
                <w:szCs w:val="21"/>
              </w:rPr>
            </w:pPr>
          </w:p>
        </w:tc>
        <w:tc>
          <w:tcPr>
            <w:tcW w:w="8865" w:type="dxa"/>
            <w:vAlign w:val="center"/>
          </w:tcPr>
          <w:p w:rsidR="009132A1" w:rsidRPr="00BC751A" w:rsidRDefault="009132A1" w:rsidP="009132A1">
            <w:pPr>
              <w:pStyle w:val="TableParagraph"/>
              <w:spacing w:line="300" w:lineRule="exact"/>
              <w:ind w:left="34" w:right="183" w:firstLine="180"/>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上記の線路閉鎖</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事区間のうち上床版のすべてと側壁の第</w:t>
            </w:r>
            <w:r w:rsidRPr="00BC751A">
              <w:rPr>
                <w:rFonts w:asciiTheme="minorEastAsia" w:eastAsiaTheme="minorEastAsia" w:hAnsiTheme="minorEastAsia"/>
                <w:sz w:val="21"/>
                <w:szCs w:val="21"/>
                <w:lang w:eastAsia="ja-JP"/>
              </w:rPr>
              <w:t>1エレメントPCR推進時には、軌道変状が予想されることから、当夜に軌道</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を待機させ線閉解除までに軌道線形を復旧</w:t>
            </w:r>
            <w:r w:rsidRPr="00BC751A">
              <w:rPr>
                <w:rFonts w:asciiTheme="minorEastAsia" w:eastAsiaTheme="minorEastAsia" w:hAnsiTheme="minorEastAsia" w:hint="eastAsia"/>
                <w:sz w:val="21"/>
                <w:szCs w:val="21"/>
                <w:lang w:eastAsia="ja-JP"/>
              </w:rPr>
              <w:t>することとする</w:t>
            </w:r>
            <w:r w:rsidRPr="00BC751A">
              <w:rPr>
                <w:rFonts w:asciiTheme="minorEastAsia" w:eastAsiaTheme="minorEastAsia" w:hAnsiTheme="minorEastAsia"/>
                <w:sz w:val="21"/>
                <w:szCs w:val="21"/>
                <w:lang w:eastAsia="ja-JP"/>
              </w:rPr>
              <w:t>。</w:t>
            </w:r>
          </w:p>
        </w:tc>
      </w:tr>
      <w:tr w:rsidR="009132A1" w:rsidRPr="00BC751A" w:rsidTr="009132A1">
        <w:trPr>
          <w:trHeight w:val="834"/>
          <w:jc w:val="center"/>
        </w:trPr>
        <w:tc>
          <w:tcPr>
            <w:tcW w:w="454" w:type="dxa"/>
            <w:vAlign w:val="center"/>
          </w:tcPr>
          <w:p w:rsidR="009132A1" w:rsidRPr="00BC751A" w:rsidRDefault="009132A1" w:rsidP="009132A1">
            <w:pPr>
              <w:pStyle w:val="TableParagraph"/>
              <w:ind w:right="105"/>
              <w:jc w:val="right"/>
              <w:rPr>
                <w:sz w:val="21"/>
                <w:szCs w:val="21"/>
              </w:rPr>
            </w:pPr>
            <w:r w:rsidRPr="00BC751A">
              <w:rPr>
                <w:sz w:val="21"/>
                <w:szCs w:val="21"/>
              </w:rPr>
              <w:t>1</w:t>
            </w:r>
            <w:r w:rsidRPr="00BC751A">
              <w:rPr>
                <w:rFonts w:hint="eastAsia"/>
                <w:sz w:val="21"/>
                <w:szCs w:val="21"/>
                <w:lang w:eastAsia="ja-JP"/>
              </w:rPr>
              <w:t>4</w:t>
            </w:r>
          </w:p>
        </w:tc>
        <w:tc>
          <w:tcPr>
            <w:tcW w:w="454" w:type="dxa"/>
            <w:vMerge/>
            <w:shd w:val="clear" w:color="auto" w:fill="D9D9D9" w:themeFill="background1" w:themeFillShade="D9"/>
          </w:tcPr>
          <w:p w:rsidR="009132A1" w:rsidRPr="00BC751A" w:rsidRDefault="009132A1" w:rsidP="009132A1">
            <w:pPr>
              <w:rPr>
                <w:sz w:val="21"/>
                <w:szCs w:val="21"/>
              </w:rPr>
            </w:pPr>
          </w:p>
        </w:tc>
        <w:tc>
          <w:tcPr>
            <w:tcW w:w="8865" w:type="dxa"/>
            <w:vAlign w:val="center"/>
          </w:tcPr>
          <w:p w:rsidR="009132A1" w:rsidRPr="00BC751A" w:rsidRDefault="009132A1" w:rsidP="009132A1">
            <w:pPr>
              <w:pStyle w:val="TableParagraph"/>
              <w:spacing w:line="300" w:lineRule="exact"/>
              <w:ind w:left="34" w:right="106" w:firstLine="180"/>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残る側壁エレメントは昼間施</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として計画するが、応</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開放による地</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の緩みが軌道変状に繋がる事から、</w:t>
            </w:r>
            <w:r w:rsidRPr="00BC751A">
              <w:rPr>
                <w:rFonts w:asciiTheme="minorEastAsia" w:eastAsiaTheme="minorEastAsia" w:hAnsiTheme="minorEastAsia"/>
                <w:sz w:val="21"/>
                <w:szCs w:val="21"/>
                <w:lang w:eastAsia="ja-JP"/>
              </w:rPr>
              <w:t>線路閉鎖時間帯にて道床搗き固めを実施</w:t>
            </w:r>
            <w:r w:rsidRPr="00BC751A">
              <w:rPr>
                <w:rFonts w:asciiTheme="minorEastAsia" w:eastAsiaTheme="minorEastAsia" w:hAnsiTheme="minorEastAsia" w:hint="eastAsia"/>
                <w:sz w:val="21"/>
                <w:szCs w:val="21"/>
                <w:lang w:eastAsia="ja-JP"/>
              </w:rPr>
              <w:t>する</w:t>
            </w:r>
            <w:r w:rsidRPr="00BC751A">
              <w:rPr>
                <w:rFonts w:asciiTheme="minorEastAsia" w:eastAsiaTheme="minorEastAsia" w:hAnsiTheme="minorEastAsia"/>
                <w:sz w:val="21"/>
                <w:szCs w:val="21"/>
                <w:lang w:eastAsia="ja-JP"/>
              </w:rPr>
              <w:t>。</w:t>
            </w:r>
          </w:p>
        </w:tc>
      </w:tr>
      <w:tr w:rsidR="009132A1" w:rsidRPr="00BC751A" w:rsidTr="009132A1">
        <w:trPr>
          <w:trHeight w:val="814"/>
          <w:jc w:val="center"/>
        </w:trPr>
        <w:tc>
          <w:tcPr>
            <w:tcW w:w="454" w:type="dxa"/>
            <w:vAlign w:val="center"/>
          </w:tcPr>
          <w:p w:rsidR="009132A1" w:rsidRPr="00BC751A" w:rsidRDefault="009132A1" w:rsidP="009132A1">
            <w:pPr>
              <w:pStyle w:val="TableParagraph"/>
              <w:ind w:right="105"/>
              <w:jc w:val="right"/>
              <w:rPr>
                <w:sz w:val="21"/>
                <w:szCs w:val="21"/>
              </w:rPr>
            </w:pPr>
            <w:r w:rsidRPr="00BC751A">
              <w:rPr>
                <w:sz w:val="21"/>
                <w:szCs w:val="21"/>
              </w:rPr>
              <w:t>1</w:t>
            </w:r>
            <w:r w:rsidRPr="00BC751A">
              <w:rPr>
                <w:rFonts w:hint="eastAsia"/>
                <w:sz w:val="21"/>
                <w:szCs w:val="21"/>
                <w:lang w:eastAsia="ja-JP"/>
              </w:rPr>
              <w:t>5</w:t>
            </w:r>
          </w:p>
        </w:tc>
        <w:tc>
          <w:tcPr>
            <w:tcW w:w="454" w:type="dxa"/>
            <w:vMerge/>
            <w:shd w:val="clear" w:color="auto" w:fill="D9D9D9" w:themeFill="background1" w:themeFillShade="D9"/>
          </w:tcPr>
          <w:p w:rsidR="009132A1" w:rsidRPr="00BC751A" w:rsidRDefault="009132A1" w:rsidP="009132A1">
            <w:pPr>
              <w:rPr>
                <w:sz w:val="21"/>
                <w:szCs w:val="21"/>
              </w:rPr>
            </w:pPr>
          </w:p>
        </w:tc>
        <w:tc>
          <w:tcPr>
            <w:tcW w:w="8865" w:type="dxa"/>
            <w:vAlign w:val="center"/>
          </w:tcPr>
          <w:p w:rsidR="009132A1" w:rsidRPr="00BC751A" w:rsidRDefault="009132A1" w:rsidP="009132A1">
            <w:pPr>
              <w:pStyle w:val="TableParagraph"/>
              <w:spacing w:line="300" w:lineRule="exact"/>
              <w:ind w:left="34" w:right="106" w:firstLine="180"/>
              <w:rPr>
                <w:rFonts w:ascii="ＭＳ 明朝" w:eastAsia="ＭＳ 明朝" w:hAnsi="ＭＳ 明朝" w:cs="ＭＳ 明朝"/>
                <w:sz w:val="21"/>
                <w:szCs w:val="21"/>
                <w:lang w:eastAsia="ja-JP"/>
              </w:rPr>
            </w:pPr>
            <w:r w:rsidRPr="00BC751A">
              <w:rPr>
                <w:rFonts w:asciiTheme="minorEastAsia" w:eastAsiaTheme="minorEastAsia" w:hAnsiTheme="minorEastAsia"/>
                <w:sz w:val="21"/>
                <w:szCs w:val="21"/>
                <w:lang w:eastAsia="ja-JP"/>
              </w:rPr>
              <w:t>底盤エレメントも同様に昼間施</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とするが、地</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緩みによる軌道への影響は既施</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エレメントによって遮断されると考える事から、道床搗き固めを実施する計画とはしない。</w:t>
            </w:r>
          </w:p>
        </w:tc>
      </w:tr>
      <w:tr w:rsidR="009132A1" w:rsidRPr="00BC751A" w:rsidTr="009132A1">
        <w:trPr>
          <w:trHeight w:val="1283"/>
          <w:jc w:val="center"/>
        </w:trPr>
        <w:tc>
          <w:tcPr>
            <w:tcW w:w="454" w:type="dxa"/>
            <w:vAlign w:val="center"/>
          </w:tcPr>
          <w:p w:rsidR="009132A1" w:rsidRPr="00BC751A" w:rsidRDefault="009132A1" w:rsidP="009132A1">
            <w:pPr>
              <w:pStyle w:val="TableParagraph"/>
              <w:ind w:right="105"/>
              <w:jc w:val="right"/>
              <w:rPr>
                <w:sz w:val="21"/>
                <w:szCs w:val="21"/>
              </w:rPr>
            </w:pPr>
            <w:r w:rsidRPr="00BC751A">
              <w:rPr>
                <w:sz w:val="21"/>
                <w:szCs w:val="21"/>
              </w:rPr>
              <w:t>1</w:t>
            </w:r>
            <w:r w:rsidRPr="00BC751A">
              <w:rPr>
                <w:rFonts w:hint="eastAsia"/>
                <w:sz w:val="21"/>
                <w:szCs w:val="21"/>
                <w:lang w:eastAsia="ja-JP"/>
              </w:rPr>
              <w:t>6</w:t>
            </w:r>
          </w:p>
        </w:tc>
        <w:tc>
          <w:tcPr>
            <w:tcW w:w="454" w:type="dxa"/>
            <w:vMerge/>
            <w:shd w:val="clear" w:color="auto" w:fill="D9D9D9" w:themeFill="background1" w:themeFillShade="D9"/>
          </w:tcPr>
          <w:p w:rsidR="009132A1" w:rsidRPr="00BC751A" w:rsidRDefault="009132A1" w:rsidP="009132A1">
            <w:pPr>
              <w:rPr>
                <w:sz w:val="21"/>
                <w:szCs w:val="21"/>
              </w:rPr>
            </w:pPr>
          </w:p>
        </w:tc>
        <w:tc>
          <w:tcPr>
            <w:tcW w:w="8865" w:type="dxa"/>
            <w:tcBorders>
              <w:bottom w:val="single" w:sz="6" w:space="0" w:color="000000"/>
            </w:tcBorders>
            <w:vAlign w:val="center"/>
          </w:tcPr>
          <w:p w:rsidR="009132A1" w:rsidRPr="00BC751A" w:rsidRDefault="009132A1" w:rsidP="009132A1">
            <w:pPr>
              <w:pStyle w:val="TableParagraph"/>
              <w:spacing w:line="300" w:lineRule="exact"/>
              <w:ind w:firstLineChars="100" w:firstLine="210"/>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『鉄道構造物等設計標準・同解説</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構造物</w:t>
            </w:r>
            <w:r w:rsidRPr="00BC751A">
              <w:rPr>
                <w:rFonts w:asciiTheme="minorEastAsia" w:eastAsiaTheme="minorEastAsia" w:hAnsiTheme="minorEastAsia"/>
                <w:sz w:val="21"/>
                <w:szCs w:val="21"/>
                <w:lang w:eastAsia="ja-JP"/>
              </w:rPr>
              <w:t>(鉄道総研編H19.1)</w:t>
            </w:r>
            <w:r w:rsidRPr="00BC751A">
              <w:rPr>
                <w:rFonts w:asciiTheme="minorEastAsia" w:eastAsiaTheme="minorEastAsia" w:hAnsiTheme="minorEastAsia"/>
                <w:spacing w:val="-1"/>
                <w:sz w:val="21"/>
                <w:szCs w:val="21"/>
                <w:lang w:eastAsia="ja-JP"/>
              </w:rPr>
              <w:t>』の</w:t>
            </w:r>
            <w:r w:rsidRPr="00BC751A">
              <w:rPr>
                <w:rFonts w:ascii="Microsoft YaHei" w:eastAsia="Microsoft YaHei" w:hAnsi="Microsoft YaHei" w:cs="Microsoft YaHei" w:hint="eastAsia"/>
                <w:spacing w:val="-1"/>
                <w:sz w:val="21"/>
                <w:szCs w:val="21"/>
                <w:lang w:eastAsia="ja-JP"/>
              </w:rPr>
              <w:t>⼀</w:t>
            </w:r>
            <w:r w:rsidRPr="00BC751A">
              <w:rPr>
                <w:rFonts w:ascii="ＭＳ 明朝" w:eastAsia="ＭＳ 明朝" w:hAnsi="ＭＳ 明朝" w:cs="ＭＳ 明朝" w:hint="eastAsia"/>
                <w:spacing w:val="-1"/>
                <w:sz w:val="21"/>
                <w:szCs w:val="21"/>
                <w:lang w:eastAsia="ja-JP"/>
              </w:rPr>
              <w:t>連の記載に則り、今回施</w:t>
            </w:r>
            <w:r w:rsidRPr="00BC751A">
              <w:rPr>
                <w:rFonts w:ascii="Microsoft YaHei" w:eastAsia="Microsoft YaHei" w:hAnsi="Microsoft YaHei" w:cs="Microsoft YaHei" w:hint="eastAsia"/>
                <w:spacing w:val="-1"/>
                <w:sz w:val="21"/>
                <w:szCs w:val="21"/>
                <w:lang w:eastAsia="ja-JP"/>
              </w:rPr>
              <w:t>⼯</w:t>
            </w:r>
            <w:r w:rsidRPr="00BC751A">
              <w:rPr>
                <w:rFonts w:ascii="ＭＳ 明朝" w:eastAsia="ＭＳ 明朝" w:hAnsi="ＭＳ 明朝" w:cs="ＭＳ 明朝" w:hint="eastAsia"/>
                <w:spacing w:val="-1"/>
                <w:sz w:val="21"/>
                <w:szCs w:val="21"/>
                <w:lang w:eastAsia="ja-JP"/>
              </w:rPr>
              <w:t>する</w:t>
            </w:r>
            <w:r w:rsidRPr="00BC751A">
              <w:rPr>
                <w:rFonts w:asciiTheme="minorEastAsia" w:eastAsiaTheme="minorEastAsia" w:hAnsiTheme="minorEastAsia"/>
                <w:sz w:val="21"/>
                <w:szCs w:val="21"/>
                <w:lang w:eastAsia="ja-JP"/>
              </w:rPr>
              <w:t>トンネル構造物の両端接続部の路床剛性の急変を防</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sz w:val="21"/>
                <w:szCs w:val="21"/>
                <w:lang w:eastAsia="ja-JP"/>
              </w:rPr>
              <w:t>し、不同沈下による軌道変位を抑</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する為にアプローチブロック</w:t>
            </w:r>
            <w:r w:rsidRPr="00BC751A">
              <w:rPr>
                <w:rFonts w:asciiTheme="minorEastAsia" w:eastAsiaTheme="minorEastAsia" w:hAnsiTheme="minorEastAsia"/>
                <w:sz w:val="21"/>
                <w:szCs w:val="21"/>
                <w:lang w:eastAsia="ja-JP"/>
              </w:rPr>
              <w:t>を施</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する。アプローチブロックは、は線を伴う作業である事から線路閉鎖</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事にて計画する。</w:t>
            </w:r>
          </w:p>
        </w:tc>
      </w:tr>
      <w:tr w:rsidR="009132A1" w:rsidRPr="00BC751A" w:rsidTr="009132A1">
        <w:trPr>
          <w:trHeight w:val="550"/>
          <w:jc w:val="center"/>
        </w:trPr>
        <w:tc>
          <w:tcPr>
            <w:tcW w:w="454" w:type="dxa"/>
            <w:vAlign w:val="center"/>
          </w:tcPr>
          <w:p w:rsidR="009132A1" w:rsidRPr="00BC751A" w:rsidRDefault="009132A1" w:rsidP="009132A1">
            <w:pPr>
              <w:pStyle w:val="TableParagraph"/>
              <w:ind w:right="105"/>
              <w:jc w:val="right"/>
              <w:rPr>
                <w:sz w:val="21"/>
                <w:szCs w:val="21"/>
              </w:rPr>
            </w:pPr>
            <w:r w:rsidRPr="00BC751A">
              <w:rPr>
                <w:sz w:val="21"/>
                <w:szCs w:val="21"/>
              </w:rPr>
              <w:t>1</w:t>
            </w:r>
            <w:r w:rsidRPr="00BC751A">
              <w:rPr>
                <w:rFonts w:hint="eastAsia"/>
                <w:sz w:val="21"/>
                <w:szCs w:val="21"/>
                <w:lang w:eastAsia="ja-JP"/>
              </w:rPr>
              <w:t>7</w:t>
            </w:r>
          </w:p>
        </w:tc>
        <w:tc>
          <w:tcPr>
            <w:tcW w:w="454" w:type="dxa"/>
            <w:vMerge/>
            <w:shd w:val="clear" w:color="auto" w:fill="D9D9D9" w:themeFill="background1" w:themeFillShade="D9"/>
          </w:tcPr>
          <w:p w:rsidR="009132A1" w:rsidRPr="00BC751A" w:rsidRDefault="009132A1" w:rsidP="009132A1">
            <w:pPr>
              <w:rPr>
                <w:sz w:val="21"/>
                <w:szCs w:val="21"/>
              </w:rPr>
            </w:pPr>
          </w:p>
        </w:tc>
        <w:tc>
          <w:tcPr>
            <w:tcW w:w="8865" w:type="dxa"/>
            <w:vAlign w:val="center"/>
          </w:tcPr>
          <w:p w:rsidR="009132A1" w:rsidRPr="00BC751A" w:rsidRDefault="009132A1" w:rsidP="009132A1">
            <w:pPr>
              <w:pStyle w:val="TableParagraph"/>
              <w:spacing w:line="300" w:lineRule="exact"/>
              <w:ind w:firstLineChars="100" w:firstLine="210"/>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場内排</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路から仮沈砂池、仮沈砂池から流末までのつなぎ込みを計上することとする。</w:t>
            </w:r>
          </w:p>
        </w:tc>
      </w:tr>
      <w:tr w:rsidR="009132A1" w:rsidRPr="00BC751A" w:rsidTr="009132A1">
        <w:trPr>
          <w:trHeight w:val="1115"/>
          <w:jc w:val="center"/>
        </w:trPr>
        <w:tc>
          <w:tcPr>
            <w:tcW w:w="454" w:type="dxa"/>
            <w:tcBorders>
              <w:top w:val="single" w:sz="6" w:space="0" w:color="000000"/>
              <w:bottom w:val="single" w:sz="6" w:space="0" w:color="000000"/>
            </w:tcBorders>
            <w:vAlign w:val="center"/>
          </w:tcPr>
          <w:p w:rsidR="009132A1" w:rsidRPr="00BC751A" w:rsidRDefault="009132A1" w:rsidP="009132A1">
            <w:pPr>
              <w:pStyle w:val="TableParagraph"/>
              <w:jc w:val="center"/>
              <w:rPr>
                <w:sz w:val="21"/>
                <w:szCs w:val="21"/>
                <w:lang w:eastAsia="ja-JP"/>
              </w:rPr>
            </w:pPr>
            <w:r w:rsidRPr="00BC751A">
              <w:rPr>
                <w:rFonts w:hint="eastAsia"/>
                <w:sz w:val="21"/>
                <w:szCs w:val="21"/>
                <w:lang w:eastAsia="ja-JP"/>
              </w:rPr>
              <w:t>1</w:t>
            </w:r>
            <w:r>
              <w:rPr>
                <w:rFonts w:hint="eastAsia"/>
                <w:sz w:val="21"/>
                <w:szCs w:val="21"/>
                <w:lang w:eastAsia="ja-JP"/>
              </w:rPr>
              <w:t>8</w:t>
            </w:r>
          </w:p>
        </w:tc>
        <w:tc>
          <w:tcPr>
            <w:tcW w:w="454" w:type="dxa"/>
            <w:vMerge w:val="restart"/>
            <w:tcBorders>
              <w:top w:val="single" w:sz="6" w:space="0" w:color="000000"/>
            </w:tcBorders>
            <w:shd w:val="clear" w:color="auto" w:fill="FFFFFF" w:themeFill="background1"/>
            <w:vAlign w:val="center"/>
          </w:tcPr>
          <w:p w:rsidR="009132A1" w:rsidRPr="00BC751A" w:rsidRDefault="009132A1" w:rsidP="009132A1">
            <w:pPr>
              <w:pStyle w:val="TableParagraph"/>
              <w:spacing w:line="218" w:lineRule="auto"/>
              <w:ind w:left="128" w:right="111"/>
              <w:rPr>
                <w:b/>
                <w:sz w:val="21"/>
                <w:szCs w:val="21"/>
              </w:rPr>
            </w:pPr>
            <w:r w:rsidRPr="00BC751A">
              <w:rPr>
                <w:rFonts w:hint="eastAsia"/>
                <w:b/>
                <w:sz w:val="21"/>
                <w:szCs w:val="21"/>
                <w:lang w:eastAsia="ja-JP"/>
              </w:rPr>
              <w:t>条件変更</w:t>
            </w:r>
          </w:p>
        </w:tc>
        <w:tc>
          <w:tcPr>
            <w:tcW w:w="8865" w:type="dxa"/>
            <w:vAlign w:val="center"/>
          </w:tcPr>
          <w:p w:rsidR="009132A1" w:rsidRPr="00BC751A" w:rsidRDefault="009132A1" w:rsidP="009132A1">
            <w:pPr>
              <w:pStyle w:val="TableParagraph"/>
              <w:spacing w:before="1" w:line="213" w:lineRule="auto"/>
              <w:ind w:left="32" w:right="105" w:firstLine="179"/>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PCR推進作業はオーガーによる機械掘削で計画</w:t>
            </w:r>
            <w:r w:rsidRPr="00BC751A">
              <w:rPr>
                <w:rFonts w:asciiTheme="minorEastAsia" w:eastAsiaTheme="minorEastAsia" w:hAnsiTheme="minorEastAsia" w:hint="eastAsia"/>
                <w:sz w:val="21"/>
                <w:szCs w:val="21"/>
                <w:lang w:eastAsia="ja-JP"/>
              </w:rPr>
              <w:t>するが、</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障物等により</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法変更が必要と判断した場合には、変更に係る検討費</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法変更による</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事費の変更及び間接費の変更、</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期の変更等について、発注者・受注者相互で協議する。</w:t>
            </w:r>
          </w:p>
        </w:tc>
      </w:tr>
      <w:tr w:rsidR="009132A1" w:rsidRPr="00BC751A" w:rsidTr="003173B8">
        <w:trPr>
          <w:trHeight w:val="1978"/>
          <w:jc w:val="center"/>
        </w:trPr>
        <w:tc>
          <w:tcPr>
            <w:tcW w:w="454" w:type="dxa"/>
            <w:tcBorders>
              <w:top w:val="single" w:sz="6" w:space="0" w:color="000000"/>
              <w:bottom w:val="single" w:sz="6" w:space="0" w:color="000000"/>
            </w:tcBorders>
            <w:vAlign w:val="center"/>
          </w:tcPr>
          <w:p w:rsidR="009132A1" w:rsidRPr="00BC751A" w:rsidRDefault="009132A1" w:rsidP="009132A1">
            <w:pPr>
              <w:pStyle w:val="TableParagraph"/>
              <w:jc w:val="center"/>
              <w:rPr>
                <w:sz w:val="21"/>
                <w:szCs w:val="21"/>
                <w:lang w:eastAsia="ja-JP"/>
              </w:rPr>
            </w:pPr>
            <w:r>
              <w:rPr>
                <w:rFonts w:hint="eastAsia"/>
                <w:sz w:val="21"/>
                <w:szCs w:val="21"/>
                <w:lang w:eastAsia="ja-JP"/>
              </w:rPr>
              <w:t>19</w:t>
            </w:r>
          </w:p>
        </w:tc>
        <w:tc>
          <w:tcPr>
            <w:tcW w:w="454" w:type="dxa"/>
            <w:vMerge/>
            <w:tcBorders>
              <w:bottom w:val="single" w:sz="6" w:space="0" w:color="000000"/>
            </w:tcBorders>
            <w:shd w:val="clear" w:color="auto" w:fill="FFFFFF" w:themeFill="background1"/>
            <w:vAlign w:val="center"/>
          </w:tcPr>
          <w:p w:rsidR="009132A1" w:rsidRPr="00BC751A" w:rsidRDefault="009132A1" w:rsidP="009132A1">
            <w:pPr>
              <w:rPr>
                <w:sz w:val="21"/>
                <w:szCs w:val="21"/>
                <w:lang w:eastAsia="ja-JP"/>
              </w:rPr>
            </w:pPr>
          </w:p>
        </w:tc>
        <w:tc>
          <w:tcPr>
            <w:tcW w:w="8865" w:type="dxa"/>
            <w:vAlign w:val="center"/>
          </w:tcPr>
          <w:p w:rsidR="009132A1" w:rsidRPr="00BC751A" w:rsidRDefault="009132A1" w:rsidP="009132A1">
            <w:pPr>
              <w:pStyle w:val="TableParagraph"/>
              <w:spacing w:line="300" w:lineRule="exact"/>
              <w:ind w:left="34" w:right="108" w:firstLine="181"/>
              <w:jc w:val="both"/>
              <w:rPr>
                <w:rFonts w:asciiTheme="minorEastAsia" w:eastAsiaTheme="minorEastAsia" w:hAnsiTheme="minorEastAsia"/>
                <w:sz w:val="21"/>
                <w:szCs w:val="21"/>
                <w:lang w:eastAsia="ja-JP"/>
              </w:rPr>
            </w:pP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壌汚染対策法に伴う調査結果は考慮していないため、建設発生土または汚泥はそれぞれ基準超過の無い条件で処分する計画とする。ただし、</w:t>
            </w:r>
            <w:r w:rsidRPr="00BC751A">
              <w:rPr>
                <w:rFonts w:asciiTheme="minorEastAsia" w:eastAsiaTheme="minorEastAsia" w:hAnsiTheme="minorEastAsia"/>
                <w:sz w:val="21"/>
                <w:szCs w:val="21"/>
                <w:lang w:eastAsia="ja-JP"/>
              </w:rPr>
              <w:t>建設</w:t>
            </w:r>
            <w:r w:rsidRPr="00BC751A">
              <w:rPr>
                <w:rFonts w:asciiTheme="minorEastAsia" w:eastAsiaTheme="minorEastAsia" w:hAnsiTheme="minorEastAsia" w:hint="eastAsia"/>
                <w:sz w:val="21"/>
                <w:szCs w:val="21"/>
                <w:lang w:eastAsia="ja-JP"/>
              </w:rPr>
              <w:t>発生土</w:t>
            </w:r>
            <w:r w:rsidRPr="00BC751A">
              <w:rPr>
                <w:rFonts w:ascii="ＭＳ 明朝" w:eastAsia="ＭＳ 明朝" w:hAnsi="ＭＳ 明朝" w:cs="ＭＳ 明朝" w:hint="eastAsia"/>
                <w:sz w:val="21"/>
                <w:szCs w:val="21"/>
                <w:lang w:eastAsia="ja-JP"/>
              </w:rPr>
              <w:t>や発</w:t>
            </w:r>
            <w:r w:rsidRPr="00BC751A">
              <w:rPr>
                <w:rFonts w:asciiTheme="minorEastAsia" w:eastAsiaTheme="minorEastAsia" w:hAnsiTheme="minorEastAsia" w:cs="Microsoft YaHei" w:hint="eastAsia"/>
                <w:sz w:val="21"/>
                <w:szCs w:val="21"/>
                <w:lang w:eastAsia="ja-JP"/>
              </w:rPr>
              <w:t>生</w:t>
            </w:r>
            <w:r w:rsidRPr="00BC751A">
              <w:rPr>
                <w:rFonts w:ascii="ＭＳ 明朝" w:eastAsia="ＭＳ 明朝" w:hAnsi="ＭＳ 明朝" w:cs="ＭＳ 明朝" w:hint="eastAsia"/>
                <w:sz w:val="21"/>
                <w:szCs w:val="21"/>
                <w:lang w:eastAsia="ja-JP"/>
              </w:rPr>
              <w:t>汚泥に</w:t>
            </w:r>
            <w:r w:rsidRPr="00BC751A">
              <w:rPr>
                <w:rFonts w:asciiTheme="minorEastAsia" w:eastAsiaTheme="minorEastAsia" w:hAnsiTheme="minorEastAsia"/>
                <w:sz w:val="21"/>
                <w:szCs w:val="21"/>
                <w:lang w:eastAsia="ja-JP"/>
              </w:rPr>
              <w:t>基準超過の化学物質が検出された場合には別途の処分をする必要があ</w:t>
            </w:r>
            <w:r w:rsidRPr="00BC751A">
              <w:rPr>
                <w:rFonts w:asciiTheme="minorEastAsia" w:eastAsiaTheme="minorEastAsia" w:hAnsiTheme="minorEastAsia" w:hint="eastAsia"/>
                <w:sz w:val="21"/>
                <w:szCs w:val="21"/>
                <w:lang w:eastAsia="ja-JP"/>
              </w:rPr>
              <w:t>ることから、本工事積算には</w:t>
            </w:r>
            <w:r w:rsidRPr="00BC751A">
              <w:rPr>
                <w:rFonts w:asciiTheme="minorEastAsia" w:eastAsiaTheme="minorEastAsia" w:hAnsiTheme="minorEastAsia"/>
                <w:sz w:val="21"/>
                <w:szCs w:val="21"/>
                <w:lang w:eastAsia="ja-JP"/>
              </w:rPr>
              <w:t>必要な調査費</w:t>
            </w:r>
            <w:r w:rsidRPr="00BC751A">
              <w:rPr>
                <w:rFonts w:ascii="Microsoft YaHei" w:eastAsia="Microsoft YaHei" w:hAnsi="Microsoft YaHei" w:cs="Microsoft YaHei" w:hint="eastAsia"/>
                <w:sz w:val="21"/>
                <w:szCs w:val="21"/>
                <w:lang w:eastAsia="ja-JP"/>
              </w:rPr>
              <w:t>⽤</w:t>
            </w:r>
            <w:r w:rsidRPr="00BC751A">
              <w:rPr>
                <w:rFonts w:asciiTheme="minorEastAsia" w:eastAsiaTheme="minorEastAsia" w:hAnsiTheme="minorEastAsia" w:hint="eastAsia"/>
                <w:sz w:val="21"/>
                <w:szCs w:val="21"/>
                <w:lang w:eastAsia="ja-JP"/>
              </w:rPr>
              <w:t>を計上することとする</w:t>
            </w:r>
            <w:r w:rsidRPr="00BC751A">
              <w:rPr>
                <w:rFonts w:asciiTheme="minorEastAsia" w:eastAsiaTheme="minorEastAsia" w:hAnsiTheme="minorEastAsia"/>
                <w:sz w:val="21"/>
                <w:szCs w:val="21"/>
                <w:lang w:eastAsia="ja-JP"/>
              </w:rPr>
              <w:t>、</w:t>
            </w:r>
          </w:p>
          <w:p w:rsidR="009132A1" w:rsidRPr="00BC751A" w:rsidRDefault="009132A1" w:rsidP="009132A1">
            <w:pPr>
              <w:pStyle w:val="TableParagraph"/>
              <w:spacing w:line="300" w:lineRule="exact"/>
              <w:ind w:left="34" w:right="108" w:firstLine="181"/>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汚染</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としての処分が必要となった場合は、発注者・受注者相互で協議した上で、処分方法・費用等を決定する。</w:t>
            </w:r>
          </w:p>
        </w:tc>
      </w:tr>
      <w:tr w:rsidR="009132A1" w:rsidRPr="00BC751A" w:rsidTr="003173B8">
        <w:trPr>
          <w:trHeight w:val="1964"/>
          <w:jc w:val="center"/>
        </w:trPr>
        <w:tc>
          <w:tcPr>
            <w:tcW w:w="454" w:type="dxa"/>
            <w:tcBorders>
              <w:top w:val="single" w:sz="6" w:space="0" w:color="000000"/>
              <w:bottom w:val="single" w:sz="6" w:space="0" w:color="000000"/>
            </w:tcBorders>
            <w:vAlign w:val="center"/>
          </w:tcPr>
          <w:p w:rsidR="009132A1" w:rsidRPr="00BC751A" w:rsidRDefault="009132A1" w:rsidP="009132A1">
            <w:pPr>
              <w:pStyle w:val="TableParagraph"/>
              <w:jc w:val="center"/>
              <w:rPr>
                <w:sz w:val="21"/>
                <w:szCs w:val="21"/>
                <w:lang w:eastAsia="ja-JP"/>
              </w:rPr>
            </w:pPr>
            <w:r w:rsidRPr="00BC751A">
              <w:rPr>
                <w:rFonts w:hint="eastAsia"/>
                <w:sz w:val="21"/>
                <w:szCs w:val="21"/>
                <w:lang w:eastAsia="ja-JP"/>
              </w:rPr>
              <w:t>2</w:t>
            </w:r>
            <w:r>
              <w:rPr>
                <w:rFonts w:hint="eastAsia"/>
                <w:sz w:val="21"/>
                <w:szCs w:val="21"/>
                <w:lang w:eastAsia="ja-JP"/>
              </w:rPr>
              <w:t>0</w:t>
            </w:r>
          </w:p>
        </w:tc>
        <w:tc>
          <w:tcPr>
            <w:tcW w:w="454" w:type="dxa"/>
            <w:shd w:val="clear" w:color="auto" w:fill="D9D9D9" w:themeFill="background1" w:themeFillShade="D9"/>
            <w:vAlign w:val="center"/>
          </w:tcPr>
          <w:p w:rsidR="009132A1" w:rsidRPr="00BC751A" w:rsidRDefault="009132A1" w:rsidP="009132A1">
            <w:pPr>
              <w:jc w:val="center"/>
              <w:rPr>
                <w:b/>
                <w:sz w:val="21"/>
                <w:szCs w:val="21"/>
                <w:lang w:eastAsia="ja-JP"/>
              </w:rPr>
            </w:pPr>
            <w:r w:rsidRPr="00BC751A">
              <w:rPr>
                <w:rFonts w:hint="eastAsia"/>
                <w:b/>
                <w:sz w:val="21"/>
                <w:szCs w:val="21"/>
                <w:lang w:eastAsia="ja-JP"/>
              </w:rPr>
              <w:t>引</w:t>
            </w:r>
          </w:p>
          <w:p w:rsidR="009132A1" w:rsidRPr="00BC751A" w:rsidRDefault="009132A1" w:rsidP="009132A1">
            <w:pPr>
              <w:jc w:val="center"/>
              <w:rPr>
                <w:b/>
                <w:sz w:val="21"/>
                <w:szCs w:val="21"/>
                <w:lang w:eastAsia="ja-JP"/>
              </w:rPr>
            </w:pPr>
            <w:r w:rsidRPr="00BC751A">
              <w:rPr>
                <w:rFonts w:hint="eastAsia"/>
                <w:b/>
                <w:sz w:val="21"/>
                <w:szCs w:val="21"/>
                <w:lang w:eastAsia="ja-JP"/>
              </w:rPr>
              <w:t>継</w:t>
            </w:r>
          </w:p>
          <w:p w:rsidR="009132A1" w:rsidRPr="00BC751A" w:rsidRDefault="009132A1" w:rsidP="009132A1">
            <w:pPr>
              <w:jc w:val="center"/>
              <w:rPr>
                <w:b/>
                <w:sz w:val="21"/>
                <w:szCs w:val="21"/>
                <w:lang w:eastAsia="ja-JP"/>
              </w:rPr>
            </w:pPr>
            <w:r w:rsidRPr="00BC751A">
              <w:rPr>
                <w:rFonts w:hint="eastAsia"/>
                <w:b/>
                <w:sz w:val="21"/>
                <w:szCs w:val="21"/>
                <w:lang w:eastAsia="ja-JP"/>
              </w:rPr>
              <w:t>条</w:t>
            </w:r>
          </w:p>
          <w:p w:rsidR="009132A1" w:rsidRPr="00BC751A" w:rsidRDefault="009132A1" w:rsidP="009132A1">
            <w:pPr>
              <w:jc w:val="center"/>
              <w:rPr>
                <w:sz w:val="21"/>
                <w:szCs w:val="21"/>
                <w:lang w:eastAsia="ja-JP"/>
              </w:rPr>
            </w:pPr>
            <w:r w:rsidRPr="00BC751A">
              <w:rPr>
                <w:rFonts w:hint="eastAsia"/>
                <w:b/>
                <w:sz w:val="21"/>
                <w:szCs w:val="21"/>
                <w:lang w:eastAsia="ja-JP"/>
              </w:rPr>
              <w:t>件</w:t>
            </w:r>
          </w:p>
        </w:tc>
        <w:tc>
          <w:tcPr>
            <w:tcW w:w="8865" w:type="dxa"/>
            <w:vAlign w:val="center"/>
          </w:tcPr>
          <w:p w:rsidR="009132A1" w:rsidRPr="00BC751A" w:rsidRDefault="009132A1" w:rsidP="009132A1">
            <w:pPr>
              <w:pStyle w:val="TableParagraph"/>
              <w:numPr>
                <w:ilvl w:val="0"/>
                <w:numId w:val="2"/>
              </w:numPr>
              <w:spacing w:line="300" w:lineRule="exact"/>
              <w:ind w:left="357" w:hanging="357"/>
              <w:jc w:val="both"/>
              <w:rPr>
                <w:rFonts w:asciiTheme="minorEastAsia" w:eastAsiaTheme="minorEastAsia" w:hAnsiTheme="minorEastAsia"/>
                <w:sz w:val="21"/>
                <w:szCs w:val="21"/>
                <w:lang w:eastAsia="ja-JP"/>
              </w:rPr>
            </w:pPr>
            <w:r w:rsidRPr="00BC751A">
              <w:rPr>
                <w:rFonts w:asciiTheme="minorEastAsia" w:eastAsiaTheme="minorEastAsia" w:hAnsiTheme="minorEastAsia" w:cs="Microsoft YaHei" w:hint="eastAsia"/>
                <w:sz w:val="21"/>
                <w:szCs w:val="21"/>
                <w:lang w:eastAsia="ja-JP"/>
              </w:rPr>
              <w:t>工事用地</w:t>
            </w:r>
            <w:r w:rsidRPr="00BC751A">
              <w:rPr>
                <w:rFonts w:asciiTheme="minorEastAsia" w:eastAsiaTheme="minorEastAsia" w:hAnsiTheme="minorEastAsia" w:cs="ＭＳ 明朝" w:hint="eastAsia"/>
                <w:sz w:val="21"/>
                <w:szCs w:val="21"/>
                <w:lang w:eastAsia="ja-JP"/>
              </w:rPr>
              <w:t>と外部の境界には仮囲い・</w:t>
            </w:r>
            <w:r w:rsidRPr="00BC751A">
              <w:rPr>
                <w:rFonts w:asciiTheme="minorEastAsia" w:eastAsiaTheme="minorEastAsia" w:hAnsiTheme="minorEastAsia" w:cs="Microsoft YaHei" w:hint="eastAsia"/>
                <w:sz w:val="21"/>
                <w:szCs w:val="21"/>
                <w:lang w:eastAsia="ja-JP"/>
              </w:rPr>
              <w:t>工事用</w:t>
            </w:r>
            <w:r w:rsidRPr="00BC751A">
              <w:rPr>
                <w:rFonts w:asciiTheme="minorEastAsia" w:eastAsiaTheme="minorEastAsia" w:hAnsiTheme="minorEastAsia" w:cs="ＭＳ 明朝" w:hint="eastAsia"/>
                <w:sz w:val="21"/>
                <w:szCs w:val="21"/>
                <w:lang w:eastAsia="ja-JP"/>
              </w:rPr>
              <w:t>ゲートを整備されている条件とする。</w:t>
            </w:r>
          </w:p>
          <w:p w:rsidR="009132A1" w:rsidRPr="00BC751A" w:rsidRDefault="009132A1" w:rsidP="009132A1">
            <w:pPr>
              <w:pStyle w:val="TableParagraph"/>
              <w:numPr>
                <w:ilvl w:val="0"/>
                <w:numId w:val="2"/>
              </w:numPr>
              <w:spacing w:line="300" w:lineRule="exact"/>
              <w:ind w:left="357" w:hanging="357"/>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軌道沿いの</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圧ケーブルをはじめとする架空ケーブル類は、現状の位置では</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留め杭が施</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できないため、全てのケーブルは本工事の</w:t>
            </w:r>
            <w:r w:rsidRPr="00BC751A">
              <w:rPr>
                <w:rFonts w:asciiTheme="minorEastAsia" w:eastAsiaTheme="minorEastAsia" w:hAnsiTheme="minorEastAsia" w:cs="Microsoft YaHei" w:hint="eastAsia"/>
                <w:sz w:val="21"/>
                <w:szCs w:val="21"/>
                <w:lang w:eastAsia="ja-JP"/>
              </w:rPr>
              <w:t>土</w:t>
            </w:r>
            <w:r w:rsidRPr="00BC751A">
              <w:rPr>
                <w:rFonts w:ascii="ＭＳ 明朝" w:eastAsia="ＭＳ 明朝" w:hAnsi="ＭＳ 明朝" w:cs="ＭＳ 明朝" w:hint="eastAsia"/>
                <w:sz w:val="21"/>
                <w:szCs w:val="21"/>
                <w:lang w:eastAsia="ja-JP"/>
              </w:rPr>
              <w:t>留め杭打設関連</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事着</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前に防護・地這等の安全対策が実施されている状態で引渡すことを前提とする。</w:t>
            </w:r>
          </w:p>
          <w:p w:rsidR="009132A1" w:rsidRPr="00BC751A" w:rsidRDefault="009132A1" w:rsidP="009132A1">
            <w:pPr>
              <w:pStyle w:val="TableParagraph"/>
              <w:numPr>
                <w:ilvl w:val="0"/>
                <w:numId w:val="2"/>
              </w:numPr>
              <w:spacing w:line="300" w:lineRule="exact"/>
              <w:ind w:left="357" w:hanging="357"/>
              <w:jc w:val="both"/>
              <w:rPr>
                <w:rFonts w:asciiTheme="minorEastAsia" w:eastAsiaTheme="minorEastAsia" w:hAnsiTheme="minorEastAsia"/>
                <w:sz w:val="21"/>
                <w:szCs w:val="21"/>
                <w:lang w:eastAsia="ja-JP"/>
              </w:rPr>
            </w:pPr>
            <w:r w:rsidRPr="00BC751A">
              <w:rPr>
                <w:rFonts w:asciiTheme="minorEastAsia" w:eastAsiaTheme="minorEastAsia" w:hAnsiTheme="minorEastAsia"/>
                <w:sz w:val="21"/>
                <w:szCs w:val="21"/>
                <w:lang w:eastAsia="ja-JP"/>
              </w:rPr>
              <w:t>切梁腹起し材は、事業期間に鑑み買取りとして計上し、損料は</w:t>
            </w:r>
            <w:r w:rsidRPr="00BC751A">
              <w:rPr>
                <w:rFonts w:asciiTheme="minorEastAsia" w:eastAsiaTheme="minorEastAsia" w:hAnsiTheme="minorEastAsia" w:hint="eastAsia"/>
                <w:sz w:val="21"/>
                <w:szCs w:val="21"/>
                <w:lang w:eastAsia="ja-JP"/>
              </w:rPr>
              <w:t>発生</w:t>
            </w:r>
            <w:r w:rsidRPr="00BC751A">
              <w:rPr>
                <w:rFonts w:ascii="ＭＳ 明朝" w:eastAsia="ＭＳ 明朝" w:hAnsi="ＭＳ 明朝" w:cs="ＭＳ 明朝" w:hint="eastAsia"/>
                <w:sz w:val="21"/>
                <w:szCs w:val="21"/>
                <w:lang w:eastAsia="ja-JP"/>
              </w:rPr>
              <w:t>させない条件とする。仮囲いやゲート等の仮設資材についても同様に次</w:t>
            </w:r>
            <w:r w:rsidRPr="00BC751A">
              <w:rPr>
                <w:rFonts w:ascii="Microsoft YaHei" w:eastAsia="Microsoft YaHei" w:hAnsi="Microsoft YaHei" w:cs="Microsoft YaHei" w:hint="eastAsia"/>
                <w:sz w:val="21"/>
                <w:szCs w:val="21"/>
                <w:lang w:eastAsia="ja-JP"/>
              </w:rPr>
              <w:t>⼯</w:t>
            </w:r>
            <w:r w:rsidRPr="00BC751A">
              <w:rPr>
                <w:rFonts w:ascii="ＭＳ 明朝" w:eastAsia="ＭＳ 明朝" w:hAnsi="ＭＳ 明朝" w:cs="ＭＳ 明朝" w:hint="eastAsia"/>
                <w:sz w:val="21"/>
                <w:szCs w:val="21"/>
                <w:lang w:eastAsia="ja-JP"/>
              </w:rPr>
              <w:t>事に引き継ぐこととする。</w:t>
            </w:r>
          </w:p>
        </w:tc>
      </w:tr>
    </w:tbl>
    <w:p w:rsidR="00BC751A" w:rsidRDefault="00133DE3" w:rsidP="003173B8">
      <w:pPr>
        <w:pStyle w:val="a3"/>
        <w:spacing w:before="27"/>
        <w:ind w:leftChars="-258" w:left="-1" w:hangingChars="270" w:hanging="567"/>
        <w:jc w:val="right"/>
        <w:rPr>
          <w:rFonts w:ascii="ＭＳ 明朝" w:eastAsia="ＭＳ 明朝" w:hAnsi="ＭＳ 明朝" w:cs="ＭＳ 明朝"/>
          <w:sz w:val="21"/>
          <w:szCs w:val="21"/>
          <w:lang w:eastAsia="ja-JP"/>
        </w:rPr>
      </w:pPr>
      <w:r w:rsidRPr="00BC751A">
        <w:rPr>
          <w:rFonts w:asciiTheme="minorEastAsia" w:eastAsiaTheme="minorEastAsia" w:hAnsiTheme="minorEastAsia"/>
          <w:sz w:val="21"/>
          <w:szCs w:val="21"/>
          <w:lang w:eastAsia="ja-JP"/>
        </w:rPr>
        <w:t>※上記に記載の</w:t>
      </w:r>
      <w:r w:rsidR="006F6891" w:rsidRPr="00BC751A">
        <w:rPr>
          <w:rFonts w:asciiTheme="minorEastAsia" w:eastAsiaTheme="minorEastAsia" w:hAnsiTheme="minorEastAsia" w:hint="eastAsia"/>
          <w:sz w:val="21"/>
          <w:szCs w:val="21"/>
          <w:lang w:eastAsia="ja-JP"/>
        </w:rPr>
        <w:t>無い事項については、契約後に</w:t>
      </w:r>
      <w:r w:rsidR="006F6891" w:rsidRPr="00BC751A">
        <w:rPr>
          <w:rFonts w:ascii="ＭＳ 明朝" w:eastAsia="ＭＳ 明朝" w:hAnsi="ＭＳ 明朝" w:cs="ＭＳ 明朝" w:hint="eastAsia"/>
          <w:sz w:val="21"/>
          <w:szCs w:val="21"/>
          <w:lang w:eastAsia="ja-JP"/>
        </w:rPr>
        <w:t>発注者・受注者相互の協議にもとづき取り決めを行う。</w:t>
      </w:r>
    </w:p>
    <w:p w:rsidR="00BC751A" w:rsidRPr="00BC751A" w:rsidRDefault="00BC751A" w:rsidP="003173B8">
      <w:pPr>
        <w:rPr>
          <w:rFonts w:asciiTheme="minorEastAsia" w:eastAsiaTheme="minorEastAsia" w:hAnsiTheme="minorEastAsia" w:hint="eastAsia"/>
          <w:sz w:val="21"/>
          <w:szCs w:val="21"/>
          <w:lang w:eastAsia="ja-JP"/>
        </w:rPr>
      </w:pPr>
    </w:p>
    <w:sectPr w:rsidR="00BC751A" w:rsidRPr="00BC751A" w:rsidSect="00BC751A">
      <w:pgSz w:w="11910" w:h="16840"/>
      <w:pgMar w:top="1134" w:right="851" w:bottom="851" w:left="1134" w:header="6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C7D" w:rsidRDefault="00907C7D">
      <w:r>
        <w:separator/>
      </w:r>
    </w:p>
  </w:endnote>
  <w:endnote w:type="continuationSeparator" w:id="0">
    <w:p w:rsidR="00907C7D" w:rsidRDefault="009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C7D" w:rsidRDefault="00907C7D">
      <w:r>
        <w:separator/>
      </w:r>
    </w:p>
  </w:footnote>
  <w:footnote w:type="continuationSeparator" w:id="0">
    <w:p w:rsidR="00907C7D" w:rsidRDefault="009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0F" w:rsidRDefault="00F7507E">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6576060</wp:posOffset>
              </wp:positionH>
              <wp:positionV relativeFrom="page">
                <wp:posOffset>388620</wp:posOffset>
              </wp:positionV>
              <wp:extent cx="521335" cy="189865"/>
              <wp:effectExtent l="0" t="0" r="1206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F0F" w:rsidRPr="000252BA" w:rsidRDefault="00133DE3">
                          <w:pPr>
                            <w:pStyle w:val="a3"/>
                            <w:spacing w:line="238" w:lineRule="exact"/>
                            <w:ind w:left="20"/>
                            <w:rPr>
                              <w:sz w:val="21"/>
                              <w:szCs w:val="21"/>
                            </w:rPr>
                          </w:pPr>
                          <w:r w:rsidRPr="000252BA">
                            <w:rPr>
                              <w:sz w:val="21"/>
                              <w:szCs w:val="21"/>
                            </w:rPr>
                            <w:t>（</w:t>
                          </w:r>
                          <w:r w:rsidRPr="000252BA">
                            <w:rPr>
                              <w:sz w:val="21"/>
                              <w:szCs w:val="21"/>
                            </w:rPr>
                            <w:fldChar w:fldCharType="begin"/>
                          </w:r>
                          <w:r w:rsidRPr="000252BA">
                            <w:rPr>
                              <w:sz w:val="21"/>
                              <w:szCs w:val="21"/>
                            </w:rPr>
                            <w:instrText xml:space="preserve"> PAGE </w:instrText>
                          </w:r>
                          <w:r w:rsidRPr="000252BA">
                            <w:rPr>
                              <w:sz w:val="21"/>
                              <w:szCs w:val="21"/>
                            </w:rPr>
                            <w:fldChar w:fldCharType="separate"/>
                          </w:r>
                          <w:r w:rsidR="003173B8">
                            <w:rPr>
                              <w:noProof/>
                              <w:sz w:val="21"/>
                              <w:szCs w:val="21"/>
                            </w:rPr>
                            <w:t>2</w:t>
                          </w:r>
                          <w:r w:rsidRPr="000252BA">
                            <w:rPr>
                              <w:sz w:val="21"/>
                              <w:szCs w:val="21"/>
                            </w:rPr>
                            <w:fldChar w:fldCharType="end"/>
                          </w:r>
                          <w:r w:rsidR="000252BA" w:rsidRPr="000252BA">
                            <w:rPr>
                              <w:sz w:val="21"/>
                              <w:szCs w:val="21"/>
                            </w:rPr>
                            <w:t>/2</w:t>
                          </w:r>
                          <w:r w:rsidRPr="000252BA">
                            <w:rPr>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8pt;margin-top:30.6pt;width:41.0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E+qg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" filled="f" stroked="f">
              <v:textbox inset="0,0,0,0">
                <w:txbxContent>
                  <w:p w:rsidR="00D94F0F" w:rsidRPr="000252BA" w:rsidRDefault="00133DE3">
                    <w:pPr>
                      <w:pStyle w:val="a3"/>
                      <w:spacing w:line="238" w:lineRule="exact"/>
                      <w:ind w:left="20"/>
                      <w:rPr>
                        <w:sz w:val="21"/>
                        <w:szCs w:val="21"/>
                      </w:rPr>
                    </w:pPr>
                    <w:r w:rsidRPr="000252BA">
                      <w:rPr>
                        <w:sz w:val="21"/>
                        <w:szCs w:val="21"/>
                      </w:rPr>
                      <w:t>（</w:t>
                    </w:r>
                    <w:r w:rsidRPr="000252BA">
                      <w:rPr>
                        <w:sz w:val="21"/>
                        <w:szCs w:val="21"/>
                      </w:rPr>
                      <w:fldChar w:fldCharType="begin"/>
                    </w:r>
                    <w:r w:rsidRPr="000252BA">
                      <w:rPr>
                        <w:sz w:val="21"/>
                        <w:szCs w:val="21"/>
                      </w:rPr>
                      <w:instrText xml:space="preserve"> PAGE </w:instrText>
                    </w:r>
                    <w:r w:rsidRPr="000252BA">
                      <w:rPr>
                        <w:sz w:val="21"/>
                        <w:szCs w:val="21"/>
                      </w:rPr>
                      <w:fldChar w:fldCharType="separate"/>
                    </w:r>
                    <w:r w:rsidR="003173B8">
                      <w:rPr>
                        <w:noProof/>
                        <w:sz w:val="21"/>
                        <w:szCs w:val="21"/>
                      </w:rPr>
                      <w:t>2</w:t>
                    </w:r>
                    <w:r w:rsidRPr="000252BA">
                      <w:rPr>
                        <w:sz w:val="21"/>
                        <w:szCs w:val="21"/>
                      </w:rPr>
                      <w:fldChar w:fldCharType="end"/>
                    </w:r>
                    <w:r w:rsidR="000252BA" w:rsidRPr="000252BA">
                      <w:rPr>
                        <w:sz w:val="21"/>
                        <w:szCs w:val="21"/>
                      </w:rPr>
                      <w:t>/2</w:t>
                    </w:r>
                    <w:r w:rsidRPr="000252BA">
                      <w:rPr>
                        <w:sz w:val="21"/>
                        <w:szCs w:val="21"/>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35B"/>
    <w:multiLevelType w:val="hybridMultilevel"/>
    <w:tmpl w:val="6A4A27AC"/>
    <w:lvl w:ilvl="0" w:tplc="1714B40A">
      <w:start w:val="1"/>
      <w:numFmt w:val="decimalEnclosedCircle"/>
      <w:lvlText w:val="%1"/>
      <w:lvlJc w:val="left"/>
      <w:pPr>
        <w:ind w:left="360" w:hanging="360"/>
      </w:pPr>
      <w:rPr>
        <w:rFonts w:cs="Microsoft YaHe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212F2"/>
    <w:multiLevelType w:val="hybridMultilevel"/>
    <w:tmpl w:val="5024FAEE"/>
    <w:lvl w:ilvl="0" w:tplc="8EC22C78">
      <w:start w:val="1"/>
      <w:numFmt w:val="decimalEnclosedCircle"/>
      <w:lvlText w:val="%1"/>
      <w:lvlJc w:val="left"/>
      <w:pPr>
        <w:ind w:left="572" w:hanging="360"/>
      </w:pPr>
      <w:rPr>
        <w:rFonts w:cs="Microsoft YaHei"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0F"/>
    <w:rsid w:val="000252BA"/>
    <w:rsid w:val="00055C6B"/>
    <w:rsid w:val="00133DE3"/>
    <w:rsid w:val="001F4102"/>
    <w:rsid w:val="002F2294"/>
    <w:rsid w:val="003173B8"/>
    <w:rsid w:val="00517629"/>
    <w:rsid w:val="00537492"/>
    <w:rsid w:val="006F6891"/>
    <w:rsid w:val="007F53C8"/>
    <w:rsid w:val="00907C7D"/>
    <w:rsid w:val="009132A1"/>
    <w:rsid w:val="00991B83"/>
    <w:rsid w:val="009F2E7E"/>
    <w:rsid w:val="00BC751A"/>
    <w:rsid w:val="00C93CB8"/>
    <w:rsid w:val="00D94F0F"/>
    <w:rsid w:val="00D97D66"/>
    <w:rsid w:val="00E45C6F"/>
    <w:rsid w:val="00E46DB3"/>
    <w:rsid w:val="00E56DB0"/>
    <w:rsid w:val="00F6415B"/>
    <w:rsid w:val="00F72552"/>
    <w:rsid w:val="00F7507E"/>
    <w:rsid w:val="00F80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4DBD5"/>
  <w15:docId w15:val="{73A7F6D6-F68F-4C20-A994-1AF2025C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7507E"/>
    <w:pPr>
      <w:tabs>
        <w:tab w:val="center" w:pos="4252"/>
        <w:tab w:val="right" w:pos="8504"/>
      </w:tabs>
      <w:snapToGrid w:val="0"/>
    </w:pPr>
  </w:style>
  <w:style w:type="character" w:customStyle="1" w:styleId="a6">
    <w:name w:val="ヘッダー (文字)"/>
    <w:basedOn w:val="a0"/>
    <w:link w:val="a5"/>
    <w:uiPriority w:val="99"/>
    <w:rsid w:val="00F7507E"/>
    <w:rPr>
      <w:rFonts w:ascii="游ゴシック" w:eastAsia="游ゴシック" w:hAnsi="游ゴシック" w:cs="游ゴシック"/>
    </w:rPr>
  </w:style>
  <w:style w:type="paragraph" w:styleId="a7">
    <w:name w:val="footer"/>
    <w:basedOn w:val="a"/>
    <w:link w:val="a8"/>
    <w:uiPriority w:val="99"/>
    <w:unhideWhenUsed/>
    <w:rsid w:val="00F7507E"/>
    <w:pPr>
      <w:tabs>
        <w:tab w:val="center" w:pos="4252"/>
        <w:tab w:val="right" w:pos="8504"/>
      </w:tabs>
      <w:snapToGrid w:val="0"/>
    </w:pPr>
  </w:style>
  <w:style w:type="character" w:customStyle="1" w:styleId="a8">
    <w:name w:val="フッター (文字)"/>
    <w:basedOn w:val="a0"/>
    <w:link w:val="a7"/>
    <w:uiPriority w:val="99"/>
    <w:rsid w:val="00F7507E"/>
    <w:rPr>
      <w:rFonts w:ascii="游ゴシック" w:eastAsia="游ゴシック" w:hAnsi="游ゴシック" w:cs="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&lt;3230303831398CA990CF8FF08C8F8F912E786C7378&gt;</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&lt;3230303831398CA990CF8FF08C8F8F912E786C7378&gt;</dc:title>
  <dc:creator>W14987</dc:creator>
  <cp:lastModifiedBy>d-104</cp:lastModifiedBy>
  <cp:revision>4</cp:revision>
  <dcterms:created xsi:type="dcterms:W3CDTF">2022-02-07T07:01:00Z</dcterms:created>
  <dcterms:modified xsi:type="dcterms:W3CDTF">2022-02-07T07:12:00Z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PScript5.dll Version 5.2.2</vt:lpwstr>
  </property>
  <property fmtid="{D5CDD505-2E9C-101B-9397-08002B2CF9AE}" pid="4" name="LastSaved">
    <vt:filetime>2022-01-27T00:00:00Z</vt:filetime>
  </property>
</Properties>
</file>